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8EF9F" w14:textId="77777777" w:rsidR="008849FF" w:rsidRDefault="008849FF" w:rsidP="00C716BC">
      <w:pPr>
        <w:spacing w:after="0" w:line="240" w:lineRule="auto"/>
        <w:jc w:val="center"/>
        <w:rPr>
          <w:rFonts w:ascii="Times New Roman" w:hAnsi="Times New Roman" w:cs="Times New Roman"/>
          <w:b/>
          <w:sz w:val="24"/>
          <w:szCs w:val="24"/>
        </w:rPr>
      </w:pPr>
    </w:p>
    <w:p w14:paraId="10E08C72" w14:textId="77777777" w:rsidR="00EA239F" w:rsidRPr="00BF4718" w:rsidRDefault="00EA239F" w:rsidP="00EA239F">
      <w:pPr>
        <w:spacing w:after="0" w:line="240" w:lineRule="auto"/>
        <w:jc w:val="center"/>
        <w:rPr>
          <w:rFonts w:ascii="Times New Roman" w:hAnsi="Times New Roman" w:cs="Times New Roman"/>
          <w:b/>
          <w:sz w:val="28"/>
          <w:szCs w:val="28"/>
        </w:rPr>
      </w:pPr>
      <w:r w:rsidRPr="00BF4718">
        <w:rPr>
          <w:rFonts w:ascii="Times New Roman" w:hAnsi="Times New Roman" w:cs="Times New Roman"/>
          <w:b/>
          <w:sz w:val="28"/>
          <w:szCs w:val="28"/>
        </w:rPr>
        <w:t>SHAREHOLDER PREFERENCES AND CORPORATE BEHAVIOR</w:t>
      </w:r>
    </w:p>
    <w:p w14:paraId="1178BC6C" w14:textId="77777777" w:rsidR="00EA239F" w:rsidRDefault="00EA239F" w:rsidP="00EA239F">
      <w:pPr>
        <w:spacing w:after="0" w:line="240" w:lineRule="auto"/>
        <w:jc w:val="center"/>
        <w:rPr>
          <w:rFonts w:ascii="Times New Roman" w:hAnsi="Times New Roman" w:cs="Times New Roman"/>
          <w:sz w:val="24"/>
          <w:szCs w:val="24"/>
        </w:rPr>
      </w:pPr>
    </w:p>
    <w:p w14:paraId="4BBFD656" w14:textId="77777777" w:rsidR="00BF4718" w:rsidRPr="00C716BC" w:rsidRDefault="00BF4718" w:rsidP="00EA239F">
      <w:pPr>
        <w:spacing w:after="0" w:line="240" w:lineRule="auto"/>
        <w:jc w:val="center"/>
        <w:rPr>
          <w:rFonts w:ascii="Times New Roman" w:hAnsi="Times New Roman" w:cs="Times New Roman"/>
          <w:sz w:val="24"/>
          <w:szCs w:val="24"/>
        </w:rPr>
      </w:pPr>
    </w:p>
    <w:p w14:paraId="5FE127E4" w14:textId="77777777" w:rsidR="00EA239F" w:rsidRDefault="00EA239F" w:rsidP="00EA239F">
      <w:pPr>
        <w:spacing w:line="480" w:lineRule="auto"/>
        <w:jc w:val="center"/>
        <w:rPr>
          <w:rFonts w:ascii="Times New Roman" w:hAnsi="Times New Roman" w:cs="Times New Roman"/>
          <w:sz w:val="24"/>
          <w:szCs w:val="24"/>
        </w:rPr>
      </w:pPr>
      <w:r w:rsidRPr="00C716BC">
        <w:rPr>
          <w:rFonts w:ascii="Times New Roman" w:hAnsi="Times New Roman" w:cs="Times New Roman"/>
          <w:sz w:val="24"/>
          <w:szCs w:val="24"/>
        </w:rPr>
        <w:t>Merritt B. Fox</w:t>
      </w:r>
      <w:r w:rsidRPr="00C716BC">
        <w:rPr>
          <w:rStyle w:val="FootnoteReference"/>
          <w:rFonts w:ascii="Times New Roman" w:hAnsi="Times New Roman" w:cs="Times New Roman"/>
          <w:sz w:val="24"/>
          <w:szCs w:val="24"/>
        </w:rPr>
        <w:footnoteReference w:customMarkFollows="1" w:id="1"/>
        <w:t>*</w:t>
      </w:r>
      <w:r w:rsidRPr="00C716BC">
        <w:rPr>
          <w:rFonts w:ascii="Times New Roman" w:hAnsi="Times New Roman" w:cs="Times New Roman"/>
          <w:sz w:val="24"/>
          <w:szCs w:val="24"/>
        </w:rPr>
        <w:t xml:space="preserve"> and Menesh S. Patel</w:t>
      </w:r>
      <w:r w:rsidRPr="00C716BC">
        <w:rPr>
          <w:rStyle w:val="FootnoteReference"/>
          <w:rFonts w:ascii="Times New Roman" w:hAnsi="Times New Roman" w:cs="Times New Roman"/>
          <w:sz w:val="24"/>
          <w:szCs w:val="24"/>
        </w:rPr>
        <w:footnoteReference w:customMarkFollows="1" w:id="2"/>
        <w:t>**</w:t>
      </w:r>
    </w:p>
    <w:p w14:paraId="259F5033" w14:textId="267392F6" w:rsidR="008F7038" w:rsidRPr="00C716BC" w:rsidRDefault="008A7DAB" w:rsidP="00EA239F">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October </w:t>
      </w:r>
      <w:r w:rsidR="00C50FC8">
        <w:rPr>
          <w:rFonts w:ascii="Times New Roman" w:hAnsi="Times New Roman" w:cs="Times New Roman"/>
          <w:sz w:val="24"/>
          <w:szCs w:val="24"/>
        </w:rPr>
        <w:t>2</w:t>
      </w:r>
      <w:r w:rsidR="00B33727">
        <w:rPr>
          <w:rFonts w:ascii="Times New Roman" w:hAnsi="Times New Roman" w:cs="Times New Roman"/>
          <w:sz w:val="24"/>
          <w:szCs w:val="24"/>
        </w:rPr>
        <w:t>5</w:t>
      </w:r>
      <w:r w:rsidR="008F7038">
        <w:rPr>
          <w:rFonts w:ascii="Times New Roman" w:hAnsi="Times New Roman" w:cs="Times New Roman"/>
          <w:sz w:val="24"/>
          <w:szCs w:val="24"/>
        </w:rPr>
        <w:t>, 2024</w:t>
      </w:r>
    </w:p>
    <w:p w14:paraId="40E09890" w14:textId="70BE9585" w:rsidR="009A4E2D" w:rsidRPr="004305C4" w:rsidRDefault="009A4E2D" w:rsidP="009A4E2D">
      <w:pPr>
        <w:pStyle w:val="Quote"/>
        <w:spacing w:before="0" w:after="0" w:line="240" w:lineRule="auto"/>
        <w:ind w:firstLine="576"/>
        <w:contextualSpacing/>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The </w:t>
      </w:r>
      <w:r w:rsidRPr="004305C4">
        <w:rPr>
          <w:rFonts w:ascii="Times New Roman" w:hAnsi="Times New Roman" w:cs="Times New Roman"/>
          <w:color w:val="auto"/>
          <w:sz w:val="24"/>
          <w:szCs w:val="24"/>
        </w:rPr>
        <w:t xml:space="preserve">preferences </w:t>
      </w:r>
      <w:r>
        <w:rPr>
          <w:rFonts w:ascii="Times New Roman" w:hAnsi="Times New Roman" w:cs="Times New Roman"/>
          <w:color w:val="auto"/>
          <w:sz w:val="24"/>
          <w:szCs w:val="24"/>
        </w:rPr>
        <w:t xml:space="preserve">of equity investors </w:t>
      </w:r>
      <w:r w:rsidRPr="004305C4">
        <w:rPr>
          <w:rFonts w:ascii="Times New Roman" w:hAnsi="Times New Roman" w:cs="Times New Roman"/>
          <w:color w:val="auto"/>
          <w:sz w:val="24"/>
          <w:szCs w:val="24"/>
        </w:rPr>
        <w:t xml:space="preserve">are not monolithic. While some </w:t>
      </w:r>
      <w:r>
        <w:rPr>
          <w:rFonts w:ascii="Times New Roman" w:hAnsi="Times New Roman" w:cs="Times New Roman"/>
          <w:color w:val="auto"/>
          <w:sz w:val="24"/>
          <w:szCs w:val="24"/>
        </w:rPr>
        <w:t xml:space="preserve">equity </w:t>
      </w:r>
      <w:r w:rsidRPr="004305C4">
        <w:rPr>
          <w:rFonts w:ascii="Times New Roman" w:hAnsi="Times New Roman" w:cs="Times New Roman"/>
          <w:color w:val="auto"/>
          <w:sz w:val="24"/>
          <w:szCs w:val="24"/>
        </w:rPr>
        <w:t>investors prefer that companies singularly focus on the pursuit of profit and share value maximization, other</w:t>
      </w:r>
      <w:r>
        <w:rPr>
          <w:rFonts w:ascii="Times New Roman" w:hAnsi="Times New Roman" w:cs="Times New Roman"/>
          <w:color w:val="auto"/>
          <w:sz w:val="24"/>
          <w:szCs w:val="24"/>
        </w:rPr>
        <w:t>s</w:t>
      </w:r>
      <w:r w:rsidRPr="004305C4">
        <w:rPr>
          <w:rFonts w:ascii="Times New Roman" w:hAnsi="Times New Roman" w:cs="Times New Roman"/>
          <w:color w:val="auto"/>
          <w:sz w:val="24"/>
          <w:szCs w:val="24"/>
        </w:rPr>
        <w:t xml:space="preserve"> see things differently and prefer that companies sacrifice profit and share value in service to some other objective. In particular, as our country’s social and environmental problems have grown in both scope and depth, and as faith in the curative abilities of the political process has waned, </w:t>
      </w:r>
      <w:r>
        <w:rPr>
          <w:rFonts w:ascii="Times New Roman" w:hAnsi="Times New Roman" w:cs="Times New Roman"/>
          <w:color w:val="auto"/>
          <w:sz w:val="24"/>
          <w:szCs w:val="24"/>
        </w:rPr>
        <w:t xml:space="preserve">a meaningful portion of </w:t>
      </w:r>
      <w:r w:rsidRPr="004305C4">
        <w:rPr>
          <w:rFonts w:ascii="Times New Roman" w:hAnsi="Times New Roman" w:cs="Times New Roman"/>
          <w:color w:val="auto"/>
          <w:sz w:val="24"/>
          <w:szCs w:val="24"/>
        </w:rPr>
        <w:t xml:space="preserve">investors appear willing to trade </w:t>
      </w:r>
      <w:r>
        <w:rPr>
          <w:rFonts w:ascii="Times New Roman" w:hAnsi="Times New Roman" w:cs="Times New Roman"/>
          <w:color w:val="auto"/>
          <w:sz w:val="24"/>
          <w:szCs w:val="24"/>
        </w:rPr>
        <w:t xml:space="preserve">at least some </w:t>
      </w:r>
      <w:r w:rsidRPr="004305C4">
        <w:rPr>
          <w:rFonts w:ascii="Times New Roman" w:hAnsi="Times New Roman" w:cs="Times New Roman"/>
          <w:color w:val="auto"/>
          <w:sz w:val="24"/>
          <w:szCs w:val="24"/>
        </w:rPr>
        <w:t>corporate profit for corporate decisions that can aid in the correction of the</w:t>
      </w:r>
      <w:r w:rsidR="00A62A18">
        <w:rPr>
          <w:rFonts w:ascii="Times New Roman" w:hAnsi="Times New Roman" w:cs="Times New Roman"/>
          <w:color w:val="auto"/>
          <w:sz w:val="24"/>
          <w:szCs w:val="24"/>
        </w:rPr>
        <w:t>se problems.</w:t>
      </w:r>
      <w:r>
        <w:rPr>
          <w:rFonts w:ascii="Times New Roman" w:hAnsi="Times New Roman" w:cs="Times New Roman"/>
          <w:color w:val="auto"/>
          <w:sz w:val="24"/>
          <w:szCs w:val="24"/>
        </w:rPr>
        <w:t xml:space="preserve"> Others continue to prefer that corporations solely seek to maximize share value. And</w:t>
      </w:r>
      <w:r w:rsidR="00A62A18">
        <w:rPr>
          <w:rFonts w:ascii="Times New Roman" w:hAnsi="Times New Roman" w:cs="Times New Roman"/>
          <w:color w:val="auto"/>
          <w:sz w:val="24"/>
          <w:szCs w:val="24"/>
        </w:rPr>
        <w:t xml:space="preserve"> </w:t>
      </w:r>
      <w:r>
        <w:rPr>
          <w:rFonts w:ascii="Times New Roman" w:hAnsi="Times New Roman" w:cs="Times New Roman"/>
          <w:color w:val="auto"/>
          <w:sz w:val="24"/>
          <w:szCs w:val="24"/>
        </w:rPr>
        <w:t>yet others prefer that corporations deviate from share-value-maximizing behavior in ways that further the investors’ own personal advantage.</w:t>
      </w:r>
    </w:p>
    <w:p w14:paraId="0349B2F8" w14:textId="44936958" w:rsidR="009A4E2D" w:rsidRPr="004305C4" w:rsidRDefault="009A4E2D" w:rsidP="009A4E2D">
      <w:pPr>
        <w:pStyle w:val="Quote"/>
        <w:spacing w:before="0" w:after="0" w:line="240" w:lineRule="auto"/>
        <w:ind w:firstLine="576"/>
        <w:contextualSpacing/>
        <w:jc w:val="both"/>
        <w:rPr>
          <w:rFonts w:ascii="Times New Roman" w:hAnsi="Times New Roman" w:cs="Times New Roman"/>
          <w:color w:val="auto"/>
          <w:sz w:val="24"/>
          <w:szCs w:val="24"/>
        </w:rPr>
      </w:pPr>
      <w:r w:rsidRPr="004305C4">
        <w:rPr>
          <w:rFonts w:ascii="Times New Roman" w:hAnsi="Times New Roman" w:cs="Times New Roman"/>
          <w:color w:val="auto"/>
          <w:sz w:val="24"/>
          <w:szCs w:val="24"/>
        </w:rPr>
        <w:t xml:space="preserve">To what extent </w:t>
      </w:r>
      <w:r w:rsidR="002973DE">
        <w:rPr>
          <w:rFonts w:ascii="Times New Roman" w:hAnsi="Times New Roman" w:cs="Times New Roman"/>
          <w:color w:val="auto"/>
          <w:sz w:val="24"/>
          <w:szCs w:val="24"/>
        </w:rPr>
        <w:t xml:space="preserve">does </w:t>
      </w:r>
      <w:r>
        <w:rPr>
          <w:rFonts w:ascii="Times New Roman" w:hAnsi="Times New Roman" w:cs="Times New Roman"/>
          <w:color w:val="auto"/>
          <w:sz w:val="24"/>
          <w:szCs w:val="24"/>
        </w:rPr>
        <w:t xml:space="preserve">the existence of this willing-to-sacrifice bloc of investors </w:t>
      </w:r>
      <w:r w:rsidR="002973DE">
        <w:rPr>
          <w:rFonts w:ascii="Times New Roman" w:hAnsi="Times New Roman" w:cs="Times New Roman"/>
          <w:color w:val="auto"/>
          <w:sz w:val="24"/>
          <w:szCs w:val="24"/>
        </w:rPr>
        <w:t xml:space="preserve">currently affect </w:t>
      </w:r>
      <w:r w:rsidRPr="004305C4">
        <w:rPr>
          <w:rFonts w:ascii="Times New Roman" w:hAnsi="Times New Roman" w:cs="Times New Roman"/>
          <w:color w:val="auto"/>
          <w:sz w:val="24"/>
          <w:szCs w:val="24"/>
        </w:rPr>
        <w:t>firm behavior</w:t>
      </w:r>
      <w:r w:rsidR="002973DE">
        <w:rPr>
          <w:rFonts w:ascii="Times New Roman" w:hAnsi="Times New Roman" w:cs="Times New Roman"/>
          <w:color w:val="auto"/>
          <w:sz w:val="24"/>
          <w:szCs w:val="24"/>
        </w:rPr>
        <w:t xml:space="preserve"> and should changes be made in existing corporate governance arrangements to make firms more sensitive to their preferences</w:t>
      </w:r>
      <w:r w:rsidRPr="004305C4">
        <w:rPr>
          <w:rFonts w:ascii="Times New Roman" w:hAnsi="Times New Roman" w:cs="Times New Roman"/>
          <w:color w:val="auto"/>
          <w:sz w:val="24"/>
          <w:szCs w:val="24"/>
        </w:rPr>
        <w:t xml:space="preserve">? This </w:t>
      </w:r>
      <w:r w:rsidR="00C11CCE">
        <w:rPr>
          <w:rFonts w:ascii="Times New Roman" w:hAnsi="Times New Roman" w:cs="Times New Roman"/>
          <w:color w:val="auto"/>
          <w:sz w:val="24"/>
          <w:szCs w:val="24"/>
        </w:rPr>
        <w:t>article</w:t>
      </w:r>
      <w:r w:rsidRPr="004305C4">
        <w:rPr>
          <w:rFonts w:ascii="Times New Roman" w:hAnsi="Times New Roman" w:cs="Times New Roman"/>
          <w:color w:val="auto"/>
          <w:sz w:val="24"/>
          <w:szCs w:val="24"/>
        </w:rPr>
        <w:t xml:space="preserve"> applies the teachings of corporate governance </w:t>
      </w:r>
      <w:r>
        <w:rPr>
          <w:rFonts w:ascii="Times New Roman" w:hAnsi="Times New Roman" w:cs="Times New Roman"/>
          <w:color w:val="auto"/>
          <w:sz w:val="24"/>
          <w:szCs w:val="24"/>
        </w:rPr>
        <w:t>and the</w:t>
      </w:r>
      <w:r w:rsidR="00A62A18">
        <w:rPr>
          <w:rFonts w:ascii="Times New Roman" w:hAnsi="Times New Roman" w:cs="Times New Roman"/>
          <w:color w:val="auto"/>
          <w:sz w:val="24"/>
          <w:szCs w:val="24"/>
        </w:rPr>
        <w:t xml:space="preserve"> </w:t>
      </w:r>
      <w:r w:rsidRPr="004305C4">
        <w:rPr>
          <w:rFonts w:ascii="Times New Roman" w:hAnsi="Times New Roman" w:cs="Times New Roman"/>
          <w:color w:val="auto"/>
          <w:sz w:val="24"/>
          <w:szCs w:val="24"/>
        </w:rPr>
        <w:t xml:space="preserve">tools of </w:t>
      </w:r>
      <w:r>
        <w:rPr>
          <w:rFonts w:ascii="Times New Roman" w:hAnsi="Times New Roman" w:cs="Times New Roman"/>
          <w:color w:val="auto"/>
          <w:sz w:val="24"/>
          <w:szCs w:val="24"/>
        </w:rPr>
        <w:t xml:space="preserve">financial </w:t>
      </w:r>
      <w:r w:rsidRPr="004305C4">
        <w:rPr>
          <w:rFonts w:ascii="Times New Roman" w:hAnsi="Times New Roman" w:cs="Times New Roman"/>
          <w:color w:val="auto"/>
          <w:sz w:val="24"/>
          <w:szCs w:val="24"/>
        </w:rPr>
        <w:t>economics</w:t>
      </w:r>
      <w:r>
        <w:rPr>
          <w:rFonts w:ascii="Times New Roman" w:hAnsi="Times New Roman" w:cs="Times New Roman"/>
          <w:color w:val="auto"/>
          <w:sz w:val="24"/>
          <w:szCs w:val="24"/>
        </w:rPr>
        <w:t xml:space="preserve"> </w:t>
      </w:r>
      <w:r w:rsidRPr="004305C4">
        <w:rPr>
          <w:rFonts w:ascii="Times New Roman" w:hAnsi="Times New Roman" w:cs="Times New Roman"/>
          <w:color w:val="auto"/>
          <w:sz w:val="24"/>
          <w:szCs w:val="24"/>
        </w:rPr>
        <w:t>to bring some analyti</w:t>
      </w:r>
      <w:r w:rsidR="002973DE">
        <w:rPr>
          <w:rFonts w:ascii="Times New Roman" w:hAnsi="Times New Roman" w:cs="Times New Roman"/>
          <w:color w:val="auto"/>
          <w:sz w:val="24"/>
          <w:szCs w:val="24"/>
        </w:rPr>
        <w:t>cal clarity to resolution of the</w:t>
      </w:r>
      <w:r w:rsidRPr="004305C4">
        <w:rPr>
          <w:rFonts w:ascii="Times New Roman" w:hAnsi="Times New Roman" w:cs="Times New Roman"/>
          <w:color w:val="auto"/>
          <w:sz w:val="24"/>
          <w:szCs w:val="24"/>
        </w:rPr>
        <w:t>s</w:t>
      </w:r>
      <w:r w:rsidR="002973DE">
        <w:rPr>
          <w:rFonts w:ascii="Times New Roman" w:hAnsi="Times New Roman" w:cs="Times New Roman"/>
          <w:color w:val="auto"/>
          <w:sz w:val="24"/>
          <w:szCs w:val="24"/>
        </w:rPr>
        <w:t>e</w:t>
      </w:r>
      <w:r w:rsidRPr="004305C4">
        <w:rPr>
          <w:rFonts w:ascii="Times New Roman" w:hAnsi="Times New Roman" w:cs="Times New Roman"/>
          <w:color w:val="auto"/>
          <w:sz w:val="24"/>
          <w:szCs w:val="24"/>
        </w:rPr>
        <w:t xml:space="preserve"> increasingly important question</w:t>
      </w:r>
      <w:r w:rsidR="002973DE">
        <w:rPr>
          <w:rFonts w:ascii="Times New Roman" w:hAnsi="Times New Roman" w:cs="Times New Roman"/>
          <w:color w:val="auto"/>
          <w:sz w:val="24"/>
          <w:szCs w:val="24"/>
        </w:rPr>
        <w:t>s</w:t>
      </w:r>
      <w:r w:rsidRPr="004305C4">
        <w:rPr>
          <w:rFonts w:ascii="Times New Roman" w:hAnsi="Times New Roman" w:cs="Times New Roman"/>
          <w:color w:val="auto"/>
          <w:sz w:val="24"/>
          <w:szCs w:val="24"/>
        </w:rPr>
        <w:t xml:space="preserve"> </w:t>
      </w:r>
      <w:r w:rsidR="002973DE">
        <w:rPr>
          <w:rFonts w:ascii="Times New Roman" w:hAnsi="Times New Roman" w:cs="Times New Roman"/>
          <w:color w:val="auto"/>
          <w:sz w:val="24"/>
          <w:szCs w:val="24"/>
        </w:rPr>
        <w:t xml:space="preserve">concerning </w:t>
      </w:r>
      <w:r w:rsidRPr="004305C4">
        <w:rPr>
          <w:rFonts w:ascii="Times New Roman" w:hAnsi="Times New Roman" w:cs="Times New Roman"/>
          <w:color w:val="auto"/>
          <w:sz w:val="24"/>
          <w:szCs w:val="24"/>
        </w:rPr>
        <w:t xml:space="preserve">firm behavior. The article focuses its attention on the country’s dominant form of productive enterprise—the dispersed ownership publicly traded for-profit corporation with </w:t>
      </w:r>
      <w:r>
        <w:rPr>
          <w:rFonts w:ascii="Times New Roman" w:hAnsi="Times New Roman" w:cs="Times New Roman"/>
          <w:color w:val="auto"/>
          <w:sz w:val="24"/>
          <w:szCs w:val="24"/>
        </w:rPr>
        <w:t>shareholders</w:t>
      </w:r>
      <w:r w:rsidRPr="004305C4">
        <w:rPr>
          <w:rFonts w:ascii="Times New Roman" w:hAnsi="Times New Roman" w:cs="Times New Roman"/>
          <w:color w:val="auto"/>
          <w:sz w:val="24"/>
          <w:szCs w:val="24"/>
        </w:rPr>
        <w:t xml:space="preserve"> as its residual claimant</w:t>
      </w:r>
      <w:r w:rsidR="00A62A18">
        <w:rPr>
          <w:rFonts w:ascii="Times New Roman" w:hAnsi="Times New Roman" w:cs="Times New Roman"/>
          <w:color w:val="auto"/>
          <w:sz w:val="24"/>
          <w:szCs w:val="24"/>
        </w:rPr>
        <w:t>. It</w:t>
      </w:r>
      <w:r w:rsidRPr="004305C4">
        <w:rPr>
          <w:rFonts w:ascii="Times New Roman" w:hAnsi="Times New Roman" w:cs="Times New Roman"/>
          <w:color w:val="auto"/>
          <w:sz w:val="24"/>
          <w:szCs w:val="24"/>
        </w:rPr>
        <w:t xml:space="preserve"> inquires whether heterogeneity in the preferences of the economy’s equity investors regarding the extent to which firms should pursue share value maximization will cause firm behavior to be different than in the counterfactual world in which investors </w:t>
      </w:r>
      <w:r>
        <w:rPr>
          <w:rFonts w:ascii="Times New Roman" w:hAnsi="Times New Roman" w:cs="Times New Roman"/>
          <w:color w:val="auto"/>
          <w:sz w:val="24"/>
          <w:szCs w:val="24"/>
        </w:rPr>
        <w:t>uniformly</w:t>
      </w:r>
      <w:r w:rsidRPr="004305C4">
        <w:rPr>
          <w:rFonts w:ascii="Times New Roman" w:hAnsi="Times New Roman" w:cs="Times New Roman"/>
          <w:color w:val="auto"/>
          <w:sz w:val="24"/>
          <w:szCs w:val="24"/>
        </w:rPr>
        <w:t xml:space="preserve"> prefer that firms focus </w:t>
      </w:r>
      <w:r>
        <w:rPr>
          <w:rFonts w:ascii="Times New Roman" w:hAnsi="Times New Roman" w:cs="Times New Roman"/>
          <w:color w:val="auto"/>
          <w:sz w:val="24"/>
          <w:szCs w:val="24"/>
        </w:rPr>
        <w:t>only</w:t>
      </w:r>
      <w:r w:rsidRPr="004305C4">
        <w:rPr>
          <w:rFonts w:ascii="Times New Roman" w:hAnsi="Times New Roman" w:cs="Times New Roman"/>
          <w:color w:val="auto"/>
          <w:sz w:val="24"/>
          <w:szCs w:val="24"/>
        </w:rPr>
        <w:t xml:space="preserve"> on share value maximization</w:t>
      </w:r>
      <w:r w:rsidR="00796064">
        <w:rPr>
          <w:rFonts w:ascii="Times New Roman" w:hAnsi="Times New Roman" w:cs="Times New Roman"/>
          <w:color w:val="auto"/>
          <w:sz w:val="24"/>
          <w:szCs w:val="24"/>
        </w:rPr>
        <w:t xml:space="preserve">. </w:t>
      </w:r>
      <w:r w:rsidRPr="004305C4">
        <w:rPr>
          <w:rFonts w:ascii="Times New Roman" w:hAnsi="Times New Roman" w:cs="Times New Roman"/>
          <w:color w:val="auto"/>
          <w:sz w:val="24"/>
          <w:szCs w:val="24"/>
        </w:rPr>
        <w:t xml:space="preserve"> </w:t>
      </w:r>
    </w:p>
    <w:p w14:paraId="3D6381BA" w14:textId="58FCA60C" w:rsidR="009A4E2D" w:rsidRDefault="009A4E2D" w:rsidP="009A4E2D">
      <w:pPr>
        <w:pStyle w:val="Quote"/>
        <w:spacing w:before="0" w:after="0" w:line="240" w:lineRule="auto"/>
        <w:ind w:firstLine="576"/>
        <w:contextualSpacing/>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Given current </w:t>
      </w:r>
      <w:r w:rsidR="00A62A18">
        <w:rPr>
          <w:rFonts w:ascii="Times New Roman" w:hAnsi="Times New Roman" w:cs="Times New Roman"/>
          <w:color w:val="auto"/>
          <w:sz w:val="24"/>
          <w:szCs w:val="24"/>
        </w:rPr>
        <w:t xml:space="preserve">corporate governance arrangements, </w:t>
      </w:r>
      <w:r>
        <w:rPr>
          <w:rFonts w:ascii="Times New Roman" w:hAnsi="Times New Roman" w:cs="Times New Roman"/>
          <w:color w:val="auto"/>
          <w:sz w:val="24"/>
          <w:szCs w:val="24"/>
        </w:rPr>
        <w:t xml:space="preserve">the </w:t>
      </w:r>
      <w:r w:rsidRPr="004305C4">
        <w:rPr>
          <w:rFonts w:ascii="Times New Roman" w:hAnsi="Times New Roman" w:cs="Times New Roman"/>
          <w:color w:val="auto"/>
          <w:sz w:val="24"/>
          <w:szCs w:val="24"/>
        </w:rPr>
        <w:t xml:space="preserve">decision </w:t>
      </w:r>
      <w:r>
        <w:rPr>
          <w:rFonts w:ascii="Times New Roman" w:hAnsi="Times New Roman" w:cs="Times New Roman"/>
          <w:color w:val="auto"/>
          <w:sz w:val="24"/>
          <w:szCs w:val="24"/>
        </w:rPr>
        <w:t xml:space="preserve">as to how such a firm operates is </w:t>
      </w:r>
      <w:r w:rsidRPr="004305C4">
        <w:rPr>
          <w:rFonts w:ascii="Times New Roman" w:hAnsi="Times New Roman" w:cs="Times New Roman"/>
          <w:color w:val="auto"/>
          <w:sz w:val="24"/>
          <w:szCs w:val="24"/>
        </w:rPr>
        <w:t>in the first instance made directly by the firm’s managers</w:t>
      </w:r>
      <w:r>
        <w:rPr>
          <w:rFonts w:ascii="Times New Roman" w:hAnsi="Times New Roman" w:cs="Times New Roman"/>
          <w:color w:val="auto"/>
          <w:sz w:val="24"/>
          <w:szCs w:val="24"/>
        </w:rPr>
        <w:t>,</w:t>
      </w:r>
      <w:r w:rsidRPr="004305C4">
        <w:rPr>
          <w:rFonts w:ascii="Times New Roman" w:hAnsi="Times New Roman" w:cs="Times New Roman"/>
          <w:color w:val="auto"/>
          <w:sz w:val="24"/>
          <w:szCs w:val="24"/>
        </w:rPr>
        <w:t xml:space="preserve"> not </w:t>
      </w:r>
      <w:r>
        <w:rPr>
          <w:rFonts w:ascii="Times New Roman" w:hAnsi="Times New Roman" w:cs="Times New Roman"/>
          <w:color w:val="auto"/>
          <w:sz w:val="24"/>
          <w:szCs w:val="24"/>
        </w:rPr>
        <w:t xml:space="preserve">by </w:t>
      </w:r>
      <w:r w:rsidRPr="004305C4">
        <w:rPr>
          <w:rFonts w:ascii="Times New Roman" w:hAnsi="Times New Roman" w:cs="Times New Roman"/>
          <w:color w:val="auto"/>
          <w:sz w:val="24"/>
          <w:szCs w:val="24"/>
        </w:rPr>
        <w:t xml:space="preserve">its equity investors, </w:t>
      </w:r>
      <w:r>
        <w:rPr>
          <w:rFonts w:ascii="Times New Roman" w:hAnsi="Times New Roman" w:cs="Times New Roman"/>
          <w:color w:val="auto"/>
          <w:sz w:val="24"/>
          <w:szCs w:val="24"/>
        </w:rPr>
        <w:t xml:space="preserve">whether </w:t>
      </w:r>
      <w:r w:rsidRPr="004305C4">
        <w:rPr>
          <w:rFonts w:ascii="Times New Roman" w:hAnsi="Times New Roman" w:cs="Times New Roman"/>
          <w:color w:val="auto"/>
          <w:sz w:val="24"/>
          <w:szCs w:val="24"/>
        </w:rPr>
        <w:t xml:space="preserve">actual or potential. </w:t>
      </w:r>
      <w:r w:rsidR="00A62A18">
        <w:rPr>
          <w:rFonts w:ascii="Times New Roman" w:hAnsi="Times New Roman" w:cs="Times New Roman"/>
          <w:color w:val="auto"/>
          <w:sz w:val="24"/>
          <w:szCs w:val="24"/>
        </w:rPr>
        <w:t>T</w:t>
      </w:r>
      <w:r w:rsidRPr="004305C4">
        <w:rPr>
          <w:rFonts w:ascii="Times New Roman" w:hAnsi="Times New Roman" w:cs="Times New Roman"/>
          <w:color w:val="auto"/>
          <w:sz w:val="24"/>
          <w:szCs w:val="24"/>
        </w:rPr>
        <w:t xml:space="preserve">he </w:t>
      </w:r>
      <w:r w:rsidR="00A62A18">
        <w:rPr>
          <w:rFonts w:ascii="Times New Roman" w:hAnsi="Times New Roman" w:cs="Times New Roman"/>
          <w:color w:val="auto"/>
          <w:sz w:val="24"/>
          <w:szCs w:val="24"/>
        </w:rPr>
        <w:t>existence</w:t>
      </w:r>
      <w:r w:rsidRPr="004305C4">
        <w:rPr>
          <w:rFonts w:ascii="Times New Roman" w:hAnsi="Times New Roman" w:cs="Times New Roman"/>
          <w:color w:val="auto"/>
          <w:sz w:val="24"/>
          <w:szCs w:val="24"/>
        </w:rPr>
        <w:t xml:space="preserve"> of </w:t>
      </w:r>
      <w:r>
        <w:rPr>
          <w:rFonts w:ascii="Times New Roman" w:hAnsi="Times New Roman" w:cs="Times New Roman"/>
          <w:color w:val="auto"/>
          <w:sz w:val="24"/>
          <w:szCs w:val="24"/>
        </w:rPr>
        <w:t>investors</w:t>
      </w:r>
      <w:r w:rsidRPr="004305C4">
        <w:rPr>
          <w:rFonts w:ascii="Times New Roman" w:hAnsi="Times New Roman" w:cs="Times New Roman"/>
          <w:color w:val="auto"/>
          <w:sz w:val="24"/>
          <w:szCs w:val="24"/>
        </w:rPr>
        <w:t xml:space="preserve"> with preferences other than share value maximization can </w:t>
      </w:r>
      <w:r w:rsidR="00A62A18">
        <w:rPr>
          <w:rFonts w:ascii="Times New Roman" w:hAnsi="Times New Roman" w:cs="Times New Roman"/>
          <w:color w:val="auto"/>
          <w:sz w:val="24"/>
          <w:szCs w:val="24"/>
        </w:rPr>
        <w:t xml:space="preserve">potentially </w:t>
      </w:r>
      <w:r w:rsidRPr="004305C4">
        <w:rPr>
          <w:rFonts w:ascii="Times New Roman" w:hAnsi="Times New Roman" w:cs="Times New Roman"/>
          <w:color w:val="auto"/>
          <w:sz w:val="24"/>
          <w:szCs w:val="24"/>
        </w:rPr>
        <w:t>affect firm behavior</w:t>
      </w:r>
      <w:r>
        <w:rPr>
          <w:rFonts w:ascii="Times New Roman" w:hAnsi="Times New Roman" w:cs="Times New Roman"/>
          <w:color w:val="auto"/>
          <w:sz w:val="24"/>
          <w:szCs w:val="24"/>
        </w:rPr>
        <w:t xml:space="preserve"> in only </w:t>
      </w:r>
      <w:r w:rsidR="00A62A18">
        <w:rPr>
          <w:rFonts w:ascii="Times New Roman" w:hAnsi="Times New Roman" w:cs="Times New Roman"/>
          <w:color w:val="auto"/>
          <w:sz w:val="24"/>
          <w:szCs w:val="24"/>
        </w:rPr>
        <w:t xml:space="preserve">indirectly.  </w:t>
      </w:r>
      <w:r w:rsidRPr="004305C4">
        <w:rPr>
          <w:rFonts w:ascii="Times New Roman" w:hAnsi="Times New Roman" w:cs="Times New Roman"/>
          <w:color w:val="auto"/>
          <w:sz w:val="24"/>
          <w:szCs w:val="24"/>
        </w:rPr>
        <w:t xml:space="preserve">One </w:t>
      </w:r>
      <w:r w:rsidR="00A62A18">
        <w:rPr>
          <w:rFonts w:ascii="Times New Roman" w:hAnsi="Times New Roman" w:cs="Times New Roman"/>
          <w:color w:val="auto"/>
          <w:sz w:val="24"/>
          <w:szCs w:val="24"/>
        </w:rPr>
        <w:t xml:space="preserve">way </w:t>
      </w:r>
      <w:r w:rsidRPr="004305C4">
        <w:rPr>
          <w:rFonts w:ascii="Times New Roman" w:hAnsi="Times New Roman" w:cs="Times New Roman"/>
          <w:color w:val="auto"/>
          <w:sz w:val="24"/>
          <w:szCs w:val="24"/>
        </w:rPr>
        <w:t xml:space="preserve">is through the election </w:t>
      </w:r>
      <w:r>
        <w:rPr>
          <w:rFonts w:ascii="Times New Roman" w:hAnsi="Times New Roman" w:cs="Times New Roman"/>
          <w:color w:val="auto"/>
          <w:sz w:val="24"/>
          <w:szCs w:val="24"/>
        </w:rPr>
        <w:t xml:space="preserve">of </w:t>
      </w:r>
      <w:r w:rsidRPr="004305C4">
        <w:rPr>
          <w:rFonts w:ascii="Times New Roman" w:hAnsi="Times New Roman" w:cs="Times New Roman"/>
          <w:color w:val="auto"/>
          <w:sz w:val="24"/>
          <w:szCs w:val="24"/>
        </w:rPr>
        <w:t>directors pledged to make the firm conform with these preferences. The other is</w:t>
      </w:r>
      <w:r>
        <w:rPr>
          <w:rFonts w:ascii="Times New Roman" w:hAnsi="Times New Roman" w:cs="Times New Roman"/>
          <w:color w:val="auto"/>
          <w:sz w:val="24"/>
          <w:szCs w:val="24"/>
        </w:rPr>
        <w:t xml:space="preserve"> in </w:t>
      </w:r>
      <w:r w:rsidRPr="004305C4">
        <w:rPr>
          <w:rFonts w:ascii="Times New Roman" w:hAnsi="Times New Roman" w:cs="Times New Roman"/>
          <w:color w:val="auto"/>
          <w:sz w:val="24"/>
          <w:szCs w:val="24"/>
        </w:rPr>
        <w:t xml:space="preserve">through </w:t>
      </w:r>
      <w:r>
        <w:rPr>
          <w:rFonts w:ascii="Times New Roman" w:hAnsi="Times New Roman" w:cs="Times New Roman"/>
          <w:color w:val="auto"/>
          <w:sz w:val="24"/>
          <w:szCs w:val="24"/>
        </w:rPr>
        <w:t xml:space="preserve">the effect of these preferences on </w:t>
      </w:r>
      <w:r w:rsidRPr="004305C4">
        <w:rPr>
          <w:rFonts w:ascii="Times New Roman" w:hAnsi="Times New Roman" w:cs="Times New Roman"/>
          <w:color w:val="auto"/>
          <w:sz w:val="24"/>
          <w:szCs w:val="24"/>
        </w:rPr>
        <w:t xml:space="preserve">the </w:t>
      </w:r>
      <w:r>
        <w:rPr>
          <w:rFonts w:ascii="Times New Roman" w:hAnsi="Times New Roman" w:cs="Times New Roman"/>
          <w:color w:val="auto"/>
          <w:sz w:val="24"/>
          <w:szCs w:val="24"/>
        </w:rPr>
        <w:t xml:space="preserve">multiple elements that go into the </w:t>
      </w:r>
      <w:r w:rsidRPr="004305C4">
        <w:rPr>
          <w:rFonts w:ascii="Times New Roman" w:hAnsi="Times New Roman" w:cs="Times New Roman"/>
          <w:color w:val="auto"/>
          <w:sz w:val="24"/>
          <w:szCs w:val="24"/>
        </w:rPr>
        <w:t xml:space="preserve">incentive </w:t>
      </w:r>
      <w:r w:rsidRPr="004305C4">
        <w:rPr>
          <w:rFonts w:ascii="Times New Roman" w:hAnsi="Times New Roman" w:cs="Times New Roman"/>
          <w:color w:val="auto"/>
          <w:sz w:val="24"/>
          <w:szCs w:val="24"/>
        </w:rPr>
        <w:lastRenderedPageBreak/>
        <w:t>structure within which a firm’s managers operate</w:t>
      </w:r>
      <w:r>
        <w:rPr>
          <w:rFonts w:ascii="Times New Roman" w:hAnsi="Times New Roman" w:cs="Times New Roman"/>
          <w:color w:val="auto"/>
          <w:sz w:val="24"/>
          <w:szCs w:val="24"/>
        </w:rPr>
        <w:t xml:space="preserve">, something the </w:t>
      </w:r>
      <w:r w:rsidR="00D2644F">
        <w:rPr>
          <w:rFonts w:ascii="Times New Roman" w:hAnsi="Times New Roman" w:cs="Times New Roman"/>
          <w:color w:val="auto"/>
          <w:sz w:val="24"/>
          <w:szCs w:val="24"/>
        </w:rPr>
        <w:t>article</w:t>
      </w:r>
      <w:r>
        <w:rPr>
          <w:rFonts w:ascii="Times New Roman" w:hAnsi="Times New Roman" w:cs="Times New Roman"/>
          <w:color w:val="auto"/>
          <w:sz w:val="24"/>
          <w:szCs w:val="24"/>
        </w:rPr>
        <w:t xml:space="preserve"> works through.</w:t>
      </w:r>
    </w:p>
    <w:p w14:paraId="2D7487CD" w14:textId="4B3C010C" w:rsidR="009A4E2D" w:rsidRPr="00CC1EF8" w:rsidRDefault="00C55DAA" w:rsidP="009A4E2D">
      <w:pPr>
        <w:pStyle w:val="Quote"/>
        <w:spacing w:before="0" w:after="0" w:line="240" w:lineRule="auto"/>
        <w:ind w:firstLine="576"/>
        <w:contextualSpacing/>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One potential pathway through which shareholders with this willing-to-sacrifice preferences could affect firm behavior is through the shareholder franchise. </w:t>
      </w:r>
      <w:r w:rsidR="009A4E2D" w:rsidRPr="00CC1EF8">
        <w:rPr>
          <w:rFonts w:ascii="Times New Roman" w:hAnsi="Times New Roman" w:cs="Times New Roman"/>
          <w:color w:val="auto"/>
          <w:sz w:val="24"/>
          <w:szCs w:val="24"/>
        </w:rPr>
        <w:t xml:space="preserve">Our analysis raises significant doubts </w:t>
      </w:r>
      <w:r>
        <w:rPr>
          <w:rFonts w:ascii="Times New Roman" w:hAnsi="Times New Roman" w:cs="Times New Roman"/>
          <w:color w:val="auto"/>
          <w:sz w:val="24"/>
          <w:szCs w:val="24"/>
        </w:rPr>
        <w:t>about the effectiveness of this pathway</w:t>
      </w:r>
      <w:r w:rsidR="008F3A6F">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009A4E2D" w:rsidRPr="00CC1EF8">
        <w:rPr>
          <w:rFonts w:ascii="Times New Roman" w:hAnsi="Times New Roman" w:cs="Times New Roman"/>
          <w:color w:val="auto"/>
          <w:sz w:val="24"/>
          <w:szCs w:val="24"/>
        </w:rPr>
        <w:t xml:space="preserve"> Under </w:t>
      </w:r>
      <w:r>
        <w:rPr>
          <w:rFonts w:ascii="Times New Roman" w:hAnsi="Times New Roman" w:cs="Times New Roman"/>
          <w:color w:val="auto"/>
          <w:sz w:val="24"/>
          <w:szCs w:val="24"/>
        </w:rPr>
        <w:t xml:space="preserve">current corporate governance arrangements, </w:t>
      </w:r>
      <w:r w:rsidR="009A4E2D" w:rsidRPr="00CC1EF8">
        <w:rPr>
          <w:rFonts w:ascii="Times New Roman" w:hAnsi="Times New Roman" w:cs="Times New Roman"/>
          <w:color w:val="auto"/>
          <w:sz w:val="24"/>
          <w:szCs w:val="24"/>
        </w:rPr>
        <w:t xml:space="preserve">the only </w:t>
      </w:r>
      <w:r w:rsidR="008F3A6F">
        <w:rPr>
          <w:rFonts w:ascii="Times New Roman" w:hAnsi="Times New Roman" w:cs="Times New Roman"/>
          <w:color w:val="auto"/>
          <w:sz w:val="24"/>
          <w:szCs w:val="24"/>
        </w:rPr>
        <w:t xml:space="preserve">relevant </w:t>
      </w:r>
      <w:r w:rsidR="009A4E2D" w:rsidRPr="00CC1EF8">
        <w:rPr>
          <w:rFonts w:ascii="Times New Roman" w:hAnsi="Times New Roman" w:cs="Times New Roman"/>
          <w:color w:val="auto"/>
          <w:sz w:val="24"/>
          <w:szCs w:val="24"/>
        </w:rPr>
        <w:t xml:space="preserve">binding shareholder votes concern who will be the directors, and our analysis shows that this will be an ineffective means of translating the preferences of profit-sacrificing shareholders to real corporate change. </w:t>
      </w:r>
      <w:r w:rsidR="008F3A6F">
        <w:rPr>
          <w:rFonts w:ascii="Times New Roman" w:hAnsi="Times New Roman" w:cs="Times New Roman"/>
          <w:color w:val="auto"/>
          <w:sz w:val="24"/>
          <w:szCs w:val="24"/>
        </w:rPr>
        <w:t xml:space="preserve">Some commentators have championed </w:t>
      </w:r>
      <w:r w:rsidR="009A4E2D" w:rsidRPr="00CC1EF8">
        <w:rPr>
          <w:rFonts w:ascii="Times New Roman" w:hAnsi="Times New Roman" w:cs="Times New Roman"/>
          <w:color w:val="auto"/>
          <w:sz w:val="24"/>
          <w:szCs w:val="24"/>
        </w:rPr>
        <w:t xml:space="preserve">modifications to these governance arrangements </w:t>
      </w:r>
      <w:r w:rsidR="008F3A6F">
        <w:rPr>
          <w:rFonts w:ascii="Times New Roman" w:hAnsi="Times New Roman" w:cs="Times New Roman"/>
          <w:color w:val="auto"/>
          <w:sz w:val="24"/>
          <w:szCs w:val="24"/>
        </w:rPr>
        <w:t>that</w:t>
      </w:r>
      <w:r w:rsidR="009A4E2D" w:rsidRPr="00CC1EF8">
        <w:rPr>
          <w:rFonts w:ascii="Times New Roman" w:hAnsi="Times New Roman" w:cs="Times New Roman"/>
          <w:color w:val="auto"/>
          <w:sz w:val="24"/>
          <w:szCs w:val="24"/>
        </w:rPr>
        <w:t xml:space="preserve"> might cause managers to be more receptive to </w:t>
      </w:r>
      <w:r w:rsidR="008F3A6F">
        <w:rPr>
          <w:rFonts w:ascii="Times New Roman" w:hAnsi="Times New Roman" w:cs="Times New Roman"/>
          <w:color w:val="auto"/>
          <w:sz w:val="24"/>
          <w:szCs w:val="24"/>
        </w:rPr>
        <w:t xml:space="preserve">such shareholders’ </w:t>
      </w:r>
      <w:r w:rsidR="009A4E2D" w:rsidRPr="00CC1EF8">
        <w:rPr>
          <w:rFonts w:ascii="Times New Roman" w:hAnsi="Times New Roman" w:cs="Times New Roman"/>
          <w:color w:val="auto"/>
          <w:sz w:val="24"/>
          <w:szCs w:val="24"/>
        </w:rPr>
        <w:t>preferences. These changes in governance arrangements</w:t>
      </w:r>
      <w:r w:rsidR="008F3A6F">
        <w:rPr>
          <w:rFonts w:ascii="Times New Roman" w:hAnsi="Times New Roman" w:cs="Times New Roman"/>
          <w:color w:val="auto"/>
          <w:sz w:val="24"/>
          <w:szCs w:val="24"/>
        </w:rPr>
        <w:t xml:space="preserve"> would</w:t>
      </w:r>
      <w:r w:rsidR="009A4E2D" w:rsidRPr="00CC1EF8">
        <w:rPr>
          <w:rFonts w:ascii="Times New Roman" w:hAnsi="Times New Roman" w:cs="Times New Roman"/>
          <w:color w:val="auto"/>
          <w:sz w:val="24"/>
          <w:szCs w:val="24"/>
        </w:rPr>
        <w:t>, however, come with costs that might well overwhelm any social gain. Specifically, they will divert political energy from its focus on the public political process where that energy can be applied more efficiently in attaining results. A</w:t>
      </w:r>
      <w:r>
        <w:rPr>
          <w:rFonts w:ascii="Times New Roman" w:hAnsi="Times New Roman" w:cs="Times New Roman"/>
          <w:color w:val="auto"/>
          <w:sz w:val="24"/>
          <w:szCs w:val="24"/>
        </w:rPr>
        <w:t xml:space="preserve">nd, whatever these modifications do accomplish in making managers more receptive to the preferences of such shareholders, they are likely as well to lead to changes in </w:t>
      </w:r>
      <w:r w:rsidR="0099263B">
        <w:rPr>
          <w:rFonts w:ascii="Times New Roman" w:hAnsi="Times New Roman" w:cs="Times New Roman"/>
          <w:color w:val="auto"/>
          <w:sz w:val="24"/>
          <w:szCs w:val="24"/>
        </w:rPr>
        <w:t xml:space="preserve">firm </w:t>
      </w:r>
      <w:r>
        <w:rPr>
          <w:rFonts w:ascii="Times New Roman" w:hAnsi="Times New Roman" w:cs="Times New Roman"/>
          <w:color w:val="auto"/>
          <w:sz w:val="24"/>
          <w:szCs w:val="24"/>
        </w:rPr>
        <w:t>behavior that simply benefit managers</w:t>
      </w:r>
      <w:r w:rsidR="0099263B">
        <w:rPr>
          <w:rFonts w:ascii="Times New Roman" w:hAnsi="Times New Roman" w:cs="Times New Roman"/>
          <w:color w:val="auto"/>
          <w:sz w:val="24"/>
          <w:szCs w:val="24"/>
        </w:rPr>
        <w:t xml:space="preserve">. </w:t>
      </w:r>
    </w:p>
    <w:p w14:paraId="6A8A9C09" w14:textId="33C44F10" w:rsidR="009A4E2D" w:rsidRPr="006C3E1A" w:rsidRDefault="009A4E2D" w:rsidP="009A4E2D">
      <w:pPr>
        <w:pStyle w:val="Quote"/>
        <w:spacing w:before="0" w:after="0" w:line="240" w:lineRule="auto"/>
        <w:ind w:firstLine="576"/>
        <w:contextualSpacing/>
        <w:jc w:val="both"/>
        <w:rPr>
          <w:rFonts w:ascii="Times New Roman" w:hAnsi="Times New Roman" w:cs="Times New Roman"/>
          <w:color w:val="000000" w:themeColor="text1"/>
          <w:sz w:val="24"/>
          <w:szCs w:val="24"/>
        </w:rPr>
      </w:pPr>
      <w:r w:rsidRPr="00CC1EF8">
        <w:rPr>
          <w:rFonts w:ascii="Times New Roman" w:hAnsi="Times New Roman" w:cs="Times New Roman"/>
          <w:color w:val="auto"/>
          <w:sz w:val="24"/>
          <w:szCs w:val="24"/>
        </w:rPr>
        <w:t xml:space="preserve">Some investors clearly compose their portfolios taking into account whether they approve of the behavior of the firms in which they invest, while others do not. This sorting represents a second potential pathway by which </w:t>
      </w:r>
      <w:r w:rsidR="00FE4AFF">
        <w:rPr>
          <w:rFonts w:ascii="Times New Roman" w:hAnsi="Times New Roman" w:cs="Times New Roman"/>
          <w:color w:val="auto"/>
          <w:sz w:val="24"/>
          <w:szCs w:val="24"/>
        </w:rPr>
        <w:t xml:space="preserve">the economy’s willing-to-sacrifice equity investors </w:t>
      </w:r>
      <w:r w:rsidRPr="00CC1EF8">
        <w:rPr>
          <w:rFonts w:ascii="Times New Roman" w:hAnsi="Times New Roman" w:cs="Times New Roman"/>
          <w:color w:val="auto"/>
          <w:sz w:val="24"/>
          <w:szCs w:val="24"/>
        </w:rPr>
        <w:t>may affect corporate behavior</w:t>
      </w:r>
      <w:r w:rsidR="00796064">
        <w:rPr>
          <w:rFonts w:ascii="Times New Roman" w:hAnsi="Times New Roman" w:cs="Times New Roman"/>
          <w:color w:val="auto"/>
          <w:sz w:val="24"/>
          <w:szCs w:val="24"/>
        </w:rPr>
        <w:t xml:space="preserve">. </w:t>
      </w:r>
      <w:r w:rsidRPr="00CC1EF8">
        <w:rPr>
          <w:rFonts w:ascii="Times New Roman" w:hAnsi="Times New Roman" w:cs="Times New Roman"/>
          <w:color w:val="auto"/>
          <w:sz w:val="24"/>
          <w:szCs w:val="24"/>
        </w:rPr>
        <w:t xml:space="preserve">There are both theoretical and empirical grounds for believing that </w:t>
      </w:r>
      <w:r w:rsidR="0099263B">
        <w:rPr>
          <w:rFonts w:ascii="Times New Roman" w:hAnsi="Times New Roman" w:cs="Times New Roman"/>
          <w:color w:val="auto"/>
          <w:sz w:val="24"/>
          <w:szCs w:val="24"/>
        </w:rPr>
        <w:t xml:space="preserve">such </w:t>
      </w:r>
      <w:r w:rsidRPr="00CC1EF8">
        <w:rPr>
          <w:rFonts w:ascii="Times New Roman" w:hAnsi="Times New Roman" w:cs="Times New Roman"/>
          <w:color w:val="auto"/>
          <w:sz w:val="24"/>
          <w:szCs w:val="24"/>
        </w:rPr>
        <w:t xml:space="preserve">sorting </w:t>
      </w:r>
      <w:r w:rsidR="0099263B">
        <w:rPr>
          <w:rFonts w:ascii="Times New Roman" w:hAnsi="Times New Roman" w:cs="Times New Roman"/>
          <w:color w:val="auto"/>
          <w:sz w:val="24"/>
          <w:szCs w:val="24"/>
        </w:rPr>
        <w:t>may have</w:t>
      </w:r>
      <w:r w:rsidRPr="00CC1EF8">
        <w:rPr>
          <w:rFonts w:ascii="Times New Roman" w:hAnsi="Times New Roman" w:cs="Times New Roman"/>
          <w:color w:val="auto"/>
          <w:sz w:val="24"/>
          <w:szCs w:val="24"/>
        </w:rPr>
        <w:t xml:space="preserve"> some impact on share prices and through this on firm behavior, though neither proposition is close to being resolved with any certainty</w:t>
      </w:r>
      <w:r w:rsidR="00796064">
        <w:rPr>
          <w:rFonts w:ascii="Times New Roman" w:hAnsi="Times New Roman" w:cs="Times New Roman"/>
          <w:color w:val="auto"/>
          <w:sz w:val="24"/>
          <w:szCs w:val="24"/>
        </w:rPr>
        <w:t xml:space="preserve">. </w:t>
      </w:r>
      <w:r w:rsidRPr="00CC1EF8">
        <w:rPr>
          <w:rFonts w:ascii="Times New Roman" w:hAnsi="Times New Roman" w:cs="Times New Roman"/>
          <w:color w:val="auto"/>
          <w:sz w:val="24"/>
          <w:szCs w:val="24"/>
        </w:rPr>
        <w:t xml:space="preserve">Relative to altering existing governance arrangements for the purpose of giving </w:t>
      </w:r>
      <w:r w:rsidR="0099263B">
        <w:rPr>
          <w:rFonts w:ascii="Times New Roman" w:hAnsi="Times New Roman" w:cs="Times New Roman"/>
          <w:color w:val="auto"/>
          <w:sz w:val="24"/>
          <w:szCs w:val="24"/>
        </w:rPr>
        <w:t xml:space="preserve">the </w:t>
      </w:r>
      <w:r w:rsidR="0099263B" w:rsidRPr="006C3E1A">
        <w:rPr>
          <w:rFonts w:ascii="Times New Roman" w:hAnsi="Times New Roman" w:cs="Times New Roman"/>
          <w:color w:val="000000" w:themeColor="text1"/>
          <w:sz w:val="24"/>
          <w:szCs w:val="24"/>
        </w:rPr>
        <w:t xml:space="preserve">economy’s willing-to-sacrifice equity investors </w:t>
      </w:r>
      <w:r w:rsidRPr="006C3E1A">
        <w:rPr>
          <w:rFonts w:ascii="Times New Roman" w:hAnsi="Times New Roman" w:cs="Times New Roman"/>
          <w:color w:val="000000" w:themeColor="text1"/>
          <w:sz w:val="24"/>
          <w:szCs w:val="24"/>
        </w:rPr>
        <w:t xml:space="preserve">a chance to alter corporate behavior, reliance on a price-based mechanism for reforming corporate behavior has </w:t>
      </w:r>
      <w:r w:rsidR="0099263B" w:rsidRPr="006C3E1A">
        <w:rPr>
          <w:rFonts w:ascii="Times New Roman" w:hAnsi="Times New Roman" w:cs="Times New Roman"/>
          <w:color w:val="000000" w:themeColor="text1"/>
          <w:sz w:val="24"/>
          <w:szCs w:val="24"/>
        </w:rPr>
        <w:t xml:space="preserve">some </w:t>
      </w:r>
      <w:r w:rsidRPr="006C3E1A">
        <w:rPr>
          <w:rFonts w:ascii="Times New Roman" w:hAnsi="Times New Roman" w:cs="Times New Roman"/>
          <w:color w:val="000000" w:themeColor="text1"/>
          <w:sz w:val="24"/>
          <w:szCs w:val="24"/>
        </w:rPr>
        <w:t xml:space="preserve">clear advantages. </w:t>
      </w:r>
      <w:r w:rsidR="0099263B" w:rsidRPr="006C3E1A">
        <w:rPr>
          <w:rFonts w:ascii="Times New Roman" w:hAnsi="Times New Roman" w:cs="Times New Roman"/>
          <w:color w:val="000000" w:themeColor="text1"/>
          <w:sz w:val="24"/>
          <w:szCs w:val="24"/>
        </w:rPr>
        <w:t xml:space="preserve">Modifying corporate behavior through sorting is a </w:t>
      </w:r>
      <w:r w:rsidRPr="006C3E1A">
        <w:rPr>
          <w:rFonts w:ascii="Times New Roman" w:hAnsi="Times New Roman" w:cs="Times New Roman"/>
          <w:color w:val="000000" w:themeColor="text1"/>
          <w:sz w:val="24"/>
          <w:szCs w:val="24"/>
        </w:rPr>
        <w:t xml:space="preserve">process </w:t>
      </w:r>
      <w:r w:rsidR="0099263B" w:rsidRPr="006C3E1A">
        <w:rPr>
          <w:rFonts w:ascii="Times New Roman" w:hAnsi="Times New Roman" w:cs="Times New Roman"/>
          <w:color w:val="000000" w:themeColor="text1"/>
          <w:sz w:val="24"/>
          <w:szCs w:val="24"/>
        </w:rPr>
        <w:t xml:space="preserve">that could be further </w:t>
      </w:r>
      <w:r w:rsidRPr="006C3E1A">
        <w:rPr>
          <w:rFonts w:ascii="Times New Roman" w:hAnsi="Times New Roman" w:cs="Times New Roman"/>
          <w:color w:val="000000" w:themeColor="text1"/>
          <w:sz w:val="24"/>
          <w:szCs w:val="24"/>
        </w:rPr>
        <w:t xml:space="preserve">promoted through more socially oriented mandatory securities disclosure. </w:t>
      </w:r>
      <w:r w:rsidR="0099263B" w:rsidRPr="006C3E1A">
        <w:rPr>
          <w:rFonts w:ascii="Times New Roman" w:hAnsi="Times New Roman" w:cs="Times New Roman"/>
          <w:color w:val="000000" w:themeColor="text1"/>
          <w:sz w:val="24"/>
          <w:szCs w:val="24"/>
        </w:rPr>
        <w:t>T</w:t>
      </w:r>
      <w:r w:rsidRPr="006C3E1A">
        <w:rPr>
          <w:rFonts w:ascii="Times New Roman" w:hAnsi="Times New Roman" w:cs="Times New Roman"/>
          <w:color w:val="000000" w:themeColor="text1"/>
          <w:sz w:val="24"/>
          <w:szCs w:val="24"/>
        </w:rPr>
        <w:t>he difficult question is whether</w:t>
      </w:r>
      <w:r w:rsidR="00FE4AFF" w:rsidRPr="006C3E1A">
        <w:rPr>
          <w:rFonts w:ascii="Times New Roman" w:hAnsi="Times New Roman" w:cs="Times New Roman"/>
          <w:color w:val="000000" w:themeColor="text1"/>
          <w:sz w:val="24"/>
          <w:szCs w:val="24"/>
        </w:rPr>
        <w:t xml:space="preserve"> the sorting-induced changes in firm behavior from imposition of such mandates</w:t>
      </w:r>
      <w:r w:rsidRPr="006C3E1A">
        <w:rPr>
          <w:rFonts w:ascii="Times New Roman" w:hAnsi="Times New Roman" w:cs="Times New Roman"/>
          <w:color w:val="000000" w:themeColor="text1"/>
          <w:sz w:val="24"/>
          <w:szCs w:val="24"/>
        </w:rPr>
        <w:t xml:space="preserve"> if such mandates </w:t>
      </w:r>
      <w:r w:rsidR="00FE4AFF" w:rsidRPr="006C3E1A">
        <w:rPr>
          <w:rFonts w:ascii="Times New Roman" w:hAnsi="Times New Roman" w:cs="Times New Roman"/>
          <w:color w:val="000000" w:themeColor="text1"/>
          <w:sz w:val="24"/>
          <w:szCs w:val="24"/>
        </w:rPr>
        <w:t>are likely great enough to</w:t>
      </w:r>
      <w:r w:rsidRPr="006C3E1A">
        <w:rPr>
          <w:rFonts w:ascii="Times New Roman" w:hAnsi="Times New Roman" w:cs="Times New Roman"/>
          <w:color w:val="000000" w:themeColor="text1"/>
          <w:sz w:val="24"/>
          <w:szCs w:val="24"/>
        </w:rPr>
        <w:t xml:space="preserve"> justify their </w:t>
      </w:r>
      <w:r w:rsidR="00FE4AFF" w:rsidRPr="006C3E1A">
        <w:rPr>
          <w:rFonts w:ascii="Times New Roman" w:hAnsi="Times New Roman" w:cs="Times New Roman"/>
          <w:color w:val="000000" w:themeColor="text1"/>
          <w:sz w:val="24"/>
          <w:szCs w:val="24"/>
        </w:rPr>
        <w:t xml:space="preserve">considerable </w:t>
      </w:r>
      <w:r w:rsidRPr="006C3E1A">
        <w:rPr>
          <w:rFonts w:ascii="Times New Roman" w:hAnsi="Times New Roman" w:cs="Times New Roman"/>
          <w:color w:val="000000" w:themeColor="text1"/>
          <w:sz w:val="24"/>
          <w:szCs w:val="24"/>
        </w:rPr>
        <w:t>costs.</w:t>
      </w:r>
    </w:p>
    <w:p w14:paraId="503C69C1" w14:textId="5C4EE873" w:rsidR="009C5F31" w:rsidRPr="006C3E1A" w:rsidRDefault="00621D97" w:rsidP="009C5F31">
      <w:pPr>
        <w:pStyle w:val="Quote"/>
        <w:spacing w:before="0" w:after="0" w:line="240" w:lineRule="auto"/>
        <w:ind w:firstLine="576"/>
        <w:contextualSpacing/>
        <w:jc w:val="both"/>
        <w:rPr>
          <w:rFonts w:ascii="Times New Roman" w:hAnsi="Times New Roman" w:cs="Times New Roman"/>
          <w:color w:val="000000" w:themeColor="text1"/>
          <w:kern w:val="0"/>
          <w:sz w:val="24"/>
          <w:szCs w:val="24"/>
          <w14:ligatures w14:val="none"/>
        </w:rPr>
      </w:pPr>
      <w:r w:rsidRPr="006C3E1A">
        <w:rPr>
          <w:rFonts w:ascii="Times New Roman" w:hAnsi="Times New Roman" w:cs="Times New Roman"/>
          <w:color w:val="000000" w:themeColor="text1"/>
          <w:sz w:val="24"/>
          <w:szCs w:val="24"/>
        </w:rPr>
        <w:t xml:space="preserve">The paper’s </w:t>
      </w:r>
      <w:r w:rsidRPr="006C3E1A">
        <w:rPr>
          <w:rFonts w:ascii="Times New Roman" w:hAnsi="Times New Roman" w:cs="Times New Roman"/>
          <w:color w:val="000000" w:themeColor="text1"/>
          <w:kern w:val="0"/>
          <w:sz w:val="24"/>
          <w:szCs w:val="24"/>
          <w14:ligatures w14:val="none"/>
        </w:rPr>
        <w:t xml:space="preserve">analysis can be leveraged to advance discussion of a number of ongoing debates in corporate law scholarship. </w:t>
      </w:r>
      <w:r w:rsidR="00E478E5" w:rsidRPr="006C3E1A">
        <w:rPr>
          <w:rFonts w:ascii="Times New Roman" w:hAnsi="Times New Roman" w:cs="Times New Roman"/>
          <w:color w:val="000000" w:themeColor="text1"/>
          <w:kern w:val="0"/>
          <w:sz w:val="24"/>
          <w:szCs w:val="24"/>
          <w14:ligatures w14:val="none"/>
        </w:rPr>
        <w:t>One example is corporate purpose: should it be to maximize share value or should it be, as proponents of CSR, ESG</w:t>
      </w:r>
      <w:r w:rsidR="00B33727">
        <w:rPr>
          <w:rFonts w:ascii="Times New Roman" w:hAnsi="Times New Roman" w:cs="Times New Roman"/>
          <w:color w:val="000000" w:themeColor="text1"/>
          <w:kern w:val="0"/>
          <w:sz w:val="24"/>
          <w:szCs w:val="24"/>
          <w14:ligatures w14:val="none"/>
        </w:rPr>
        <w:t>,</w:t>
      </w:r>
      <w:r w:rsidR="00E478E5" w:rsidRPr="006C3E1A">
        <w:rPr>
          <w:rFonts w:ascii="Times New Roman" w:hAnsi="Times New Roman" w:cs="Times New Roman"/>
          <w:color w:val="000000" w:themeColor="text1"/>
          <w:kern w:val="0"/>
          <w:sz w:val="24"/>
          <w:szCs w:val="24"/>
          <w14:ligatures w14:val="none"/>
        </w:rPr>
        <w:t xml:space="preserve"> and stakeholderism see it, to serve, to some extent at least, one or more other ends? </w:t>
      </w:r>
      <w:r w:rsidR="00D01260" w:rsidRPr="006C3E1A">
        <w:rPr>
          <w:rFonts w:ascii="Times New Roman" w:hAnsi="Times New Roman" w:cs="Times New Roman"/>
          <w:color w:val="000000" w:themeColor="text1"/>
          <w:kern w:val="0"/>
          <w:sz w:val="24"/>
          <w:szCs w:val="24"/>
          <w14:ligatures w14:val="none"/>
        </w:rPr>
        <w:t xml:space="preserve">The literature </w:t>
      </w:r>
      <w:r w:rsidR="004312F3" w:rsidRPr="006C3E1A">
        <w:rPr>
          <w:rFonts w:ascii="Times New Roman" w:hAnsi="Times New Roman" w:cs="Times New Roman"/>
          <w:color w:val="000000" w:themeColor="text1"/>
          <w:kern w:val="0"/>
          <w:sz w:val="24"/>
          <w:szCs w:val="24"/>
          <w14:ligatures w14:val="none"/>
        </w:rPr>
        <w:t xml:space="preserve">advocating </w:t>
      </w:r>
      <w:r w:rsidR="00D01260" w:rsidRPr="006C3E1A">
        <w:rPr>
          <w:rFonts w:ascii="Times New Roman" w:hAnsi="Times New Roman" w:cs="Times New Roman"/>
          <w:color w:val="000000" w:themeColor="text1"/>
          <w:kern w:val="0"/>
          <w:sz w:val="24"/>
          <w:szCs w:val="24"/>
          <w14:ligatures w14:val="none"/>
        </w:rPr>
        <w:t xml:space="preserve">these alternative ends approaches to corporate governance tends to be thin on how to get from here to there.  </w:t>
      </w:r>
      <w:r w:rsidR="004312F3" w:rsidRPr="006C3E1A">
        <w:rPr>
          <w:rFonts w:ascii="Times New Roman" w:hAnsi="Times New Roman" w:cs="Times New Roman"/>
          <w:color w:val="000000" w:themeColor="text1"/>
          <w:kern w:val="0"/>
          <w:sz w:val="24"/>
          <w:szCs w:val="24"/>
          <w14:ligatures w14:val="none"/>
        </w:rPr>
        <w:t>W</w:t>
      </w:r>
      <w:r w:rsidR="00E478E5" w:rsidRPr="006C3E1A">
        <w:rPr>
          <w:rFonts w:ascii="Times New Roman" w:hAnsi="Times New Roman" w:cs="Times New Roman"/>
          <w:color w:val="000000" w:themeColor="text1"/>
          <w:kern w:val="0"/>
          <w:sz w:val="24"/>
          <w:szCs w:val="24"/>
          <w14:ligatures w14:val="none"/>
        </w:rPr>
        <w:t>e conclude</w:t>
      </w:r>
      <w:r w:rsidR="00D01260" w:rsidRPr="006C3E1A">
        <w:rPr>
          <w:rFonts w:ascii="Times New Roman" w:hAnsi="Times New Roman" w:cs="Times New Roman"/>
          <w:color w:val="000000" w:themeColor="text1"/>
          <w:kern w:val="0"/>
          <w:sz w:val="24"/>
          <w:szCs w:val="24"/>
          <w14:ligatures w14:val="none"/>
        </w:rPr>
        <w:t xml:space="preserve"> that even if a substantial portion of the economy’s equity investors would prefer sacrificing profits in furtherance of some such end, it is unlikely to lead organically to major changes in corporate behavior</w:t>
      </w:r>
      <w:r w:rsidR="004312F3" w:rsidRPr="006C3E1A">
        <w:rPr>
          <w:rFonts w:ascii="Times New Roman" w:hAnsi="Times New Roman" w:cs="Times New Roman"/>
          <w:color w:val="000000" w:themeColor="text1"/>
          <w:kern w:val="0"/>
          <w:sz w:val="24"/>
          <w:szCs w:val="24"/>
          <w14:ligatures w14:val="none"/>
        </w:rPr>
        <w:t xml:space="preserve">. We identify and evaluate the </w:t>
      </w:r>
      <w:r w:rsidR="00D01260" w:rsidRPr="006C3E1A">
        <w:rPr>
          <w:rFonts w:ascii="Times New Roman" w:hAnsi="Times New Roman" w:cs="Times New Roman"/>
          <w:color w:val="000000" w:themeColor="text1"/>
          <w:kern w:val="0"/>
          <w:sz w:val="24"/>
          <w:szCs w:val="24"/>
          <w14:ligatures w14:val="none"/>
        </w:rPr>
        <w:t>fundamental changes in our corporate governance arrangements</w:t>
      </w:r>
      <w:r w:rsidR="004312F3" w:rsidRPr="006C3E1A">
        <w:rPr>
          <w:rFonts w:ascii="Times New Roman" w:hAnsi="Times New Roman" w:cs="Times New Roman"/>
          <w:color w:val="000000" w:themeColor="text1"/>
          <w:kern w:val="0"/>
          <w:sz w:val="24"/>
          <w:szCs w:val="24"/>
          <w14:ligatures w14:val="none"/>
        </w:rPr>
        <w:t xml:space="preserve"> that would be needed for these preferences to make a difference.  </w:t>
      </w:r>
    </w:p>
    <w:p w14:paraId="38B1FFB5" w14:textId="77777777" w:rsidR="009C5F31" w:rsidRPr="006C3E1A" w:rsidRDefault="009C5F31" w:rsidP="009C5F31">
      <w:pPr>
        <w:pStyle w:val="Quote"/>
        <w:spacing w:before="0" w:after="0" w:line="240" w:lineRule="auto"/>
        <w:ind w:firstLine="576"/>
        <w:contextualSpacing/>
        <w:jc w:val="both"/>
        <w:rPr>
          <w:rFonts w:ascii="Times New Roman" w:hAnsi="Times New Roman" w:cs="Times New Roman"/>
          <w:color w:val="000000" w:themeColor="text1"/>
          <w:kern w:val="0"/>
          <w:sz w:val="24"/>
          <w:szCs w:val="24"/>
          <w14:ligatures w14:val="none"/>
        </w:rPr>
      </w:pPr>
    </w:p>
    <w:p w14:paraId="55A90547" w14:textId="77777777" w:rsidR="009C5F31" w:rsidRPr="006C3E1A" w:rsidRDefault="009C5F31" w:rsidP="009C5F31">
      <w:pPr>
        <w:rPr>
          <w:color w:val="000000" w:themeColor="text1"/>
        </w:rPr>
      </w:pPr>
    </w:p>
    <w:p w14:paraId="03547A18" w14:textId="77777777" w:rsidR="00C716BC" w:rsidRPr="00C716BC" w:rsidRDefault="00C716BC" w:rsidP="00C716BC">
      <w:pPr>
        <w:pStyle w:val="BlockQuote"/>
        <w:tabs>
          <w:tab w:val="left" w:pos="7380"/>
        </w:tabs>
        <w:ind w:left="0" w:right="-36" w:firstLine="0"/>
        <w:jc w:val="center"/>
        <w:rPr>
          <w:rFonts w:ascii="Times New Roman" w:hAnsi="Times New Roman"/>
          <w:b/>
          <w:bCs/>
        </w:rPr>
      </w:pPr>
      <w:r w:rsidRPr="00C716BC">
        <w:rPr>
          <w:rFonts w:ascii="Times New Roman" w:hAnsi="Times New Roman"/>
          <w:b/>
          <w:bCs/>
          <w:smallCaps/>
          <w:sz w:val="24"/>
          <w:szCs w:val="24"/>
        </w:rPr>
        <w:lastRenderedPageBreak/>
        <w:t>Contents</w:t>
      </w:r>
    </w:p>
    <w:p w14:paraId="5ADC949A" w14:textId="77777777" w:rsidR="00C716BC" w:rsidRPr="00C716BC" w:rsidRDefault="00C716BC" w:rsidP="00C716BC">
      <w:pPr>
        <w:tabs>
          <w:tab w:val="left" w:pos="450"/>
          <w:tab w:val="right" w:leader="dot" w:pos="9350"/>
        </w:tabs>
        <w:spacing w:after="100"/>
        <w:ind w:left="450" w:hanging="450"/>
        <w:rPr>
          <w:rFonts w:ascii="Times New Roman" w:eastAsia="Calibri" w:hAnsi="Times New Roman" w:cs="Times New Roman"/>
          <w:noProof/>
          <w:szCs w:val="24"/>
        </w:rPr>
      </w:pPr>
    </w:p>
    <w:p w14:paraId="5B3DC664" w14:textId="4171DA06" w:rsidR="00C716BC" w:rsidRPr="00C716BC" w:rsidRDefault="00C716BC" w:rsidP="00C716BC">
      <w:pPr>
        <w:tabs>
          <w:tab w:val="left" w:pos="450"/>
          <w:tab w:val="right" w:leader="dot" w:pos="9350"/>
        </w:tabs>
        <w:spacing w:after="100"/>
        <w:ind w:left="450" w:hanging="450"/>
        <w:rPr>
          <w:rFonts w:ascii="Times New Roman" w:hAnsi="Times New Roman" w:cs="Times New Roman"/>
          <w:noProof/>
          <w:sz w:val="24"/>
          <w:szCs w:val="24"/>
        </w:rPr>
      </w:pPr>
      <w:r w:rsidRPr="00C716BC">
        <w:rPr>
          <w:rFonts w:ascii="Times New Roman" w:eastAsia="Calibri" w:hAnsi="Times New Roman" w:cs="Times New Roman"/>
          <w:noProof/>
          <w:sz w:val="24"/>
          <w:szCs w:val="24"/>
        </w:rPr>
        <w:t>Introduction</w:t>
      </w:r>
      <w:r w:rsidRPr="00C716BC">
        <w:rPr>
          <w:rFonts w:ascii="Times New Roman" w:eastAsia="Calibri" w:hAnsi="Times New Roman" w:cs="Times New Roman"/>
          <w:noProof/>
          <w:webHidden/>
          <w:sz w:val="24"/>
          <w:szCs w:val="24"/>
        </w:rPr>
        <w:tab/>
      </w:r>
      <w:r w:rsidR="009C6E4A">
        <w:rPr>
          <w:rFonts w:ascii="Times New Roman" w:eastAsia="Calibri" w:hAnsi="Times New Roman" w:cs="Times New Roman"/>
          <w:noProof/>
          <w:webHidden/>
          <w:sz w:val="24"/>
          <w:szCs w:val="24"/>
        </w:rPr>
        <w:t>4</w:t>
      </w:r>
    </w:p>
    <w:p w14:paraId="6BF0D121" w14:textId="47374616" w:rsidR="00C716BC" w:rsidRPr="00C716BC" w:rsidRDefault="00C716BC" w:rsidP="00C716BC">
      <w:pPr>
        <w:tabs>
          <w:tab w:val="left" w:pos="450"/>
          <w:tab w:val="right" w:leader="dot" w:pos="9350"/>
        </w:tabs>
        <w:spacing w:after="100"/>
        <w:ind w:left="450" w:hanging="450"/>
        <w:rPr>
          <w:rFonts w:ascii="Times New Roman" w:hAnsi="Times New Roman" w:cs="Times New Roman"/>
          <w:noProof/>
          <w:sz w:val="24"/>
          <w:szCs w:val="24"/>
        </w:rPr>
      </w:pPr>
      <w:r w:rsidRPr="00C716BC">
        <w:rPr>
          <w:rFonts w:ascii="Times New Roman" w:eastAsia="Calibri" w:hAnsi="Times New Roman" w:cs="Times New Roman"/>
          <w:noProof/>
          <w:sz w:val="24"/>
          <w:szCs w:val="24"/>
        </w:rPr>
        <w:t>I.</w:t>
      </w:r>
      <w:r w:rsidRPr="00C716BC">
        <w:rPr>
          <w:rFonts w:ascii="Times New Roman" w:hAnsi="Times New Roman" w:cs="Times New Roman"/>
          <w:noProof/>
          <w:sz w:val="24"/>
          <w:szCs w:val="24"/>
        </w:rPr>
        <w:tab/>
      </w:r>
      <w:r w:rsidRPr="00C716BC">
        <w:rPr>
          <w:rFonts w:ascii="Times New Roman" w:hAnsi="Times New Roman" w:cs="Times New Roman"/>
          <w:sz w:val="24"/>
          <w:szCs w:val="24"/>
        </w:rPr>
        <w:t>Taxonomy of Shareholder Differences</w:t>
      </w:r>
      <w:r w:rsidRPr="00C716BC">
        <w:rPr>
          <w:rFonts w:ascii="Times New Roman" w:eastAsia="Calibri" w:hAnsi="Times New Roman" w:cs="Times New Roman"/>
          <w:noProof/>
          <w:webHidden/>
          <w:sz w:val="24"/>
          <w:szCs w:val="24"/>
        </w:rPr>
        <w:tab/>
      </w:r>
      <w:r w:rsidR="009C6E4A">
        <w:rPr>
          <w:rFonts w:ascii="Times New Roman" w:eastAsia="Calibri" w:hAnsi="Times New Roman" w:cs="Times New Roman"/>
          <w:noProof/>
          <w:webHidden/>
          <w:sz w:val="24"/>
          <w:szCs w:val="24"/>
        </w:rPr>
        <w:t>16</w:t>
      </w:r>
    </w:p>
    <w:p w14:paraId="1093C0EC" w14:textId="4275067A" w:rsidR="00C716BC" w:rsidRPr="00C716BC" w:rsidRDefault="00C716BC" w:rsidP="00C716BC">
      <w:pPr>
        <w:tabs>
          <w:tab w:val="left" w:pos="880"/>
          <w:tab w:val="right" w:leader="dot" w:pos="9350"/>
        </w:tabs>
        <w:spacing w:after="100"/>
        <w:ind w:left="720" w:hanging="270"/>
        <w:rPr>
          <w:rFonts w:ascii="Times New Roman" w:eastAsia="Calibri" w:hAnsi="Times New Roman" w:cs="Times New Roman"/>
          <w:noProof/>
          <w:webHidden/>
          <w:sz w:val="24"/>
          <w:szCs w:val="24"/>
        </w:rPr>
      </w:pPr>
      <w:r w:rsidRPr="00C716BC">
        <w:rPr>
          <w:rFonts w:ascii="Times New Roman" w:eastAsia="Calibri" w:hAnsi="Times New Roman" w:cs="Times New Roman"/>
          <w:noProof/>
          <w:sz w:val="24"/>
          <w:szCs w:val="24"/>
        </w:rPr>
        <w:t>A.</w:t>
      </w:r>
      <w:r w:rsidRPr="00C716BC">
        <w:rPr>
          <w:rFonts w:ascii="Times New Roman" w:hAnsi="Times New Roman" w:cs="Times New Roman"/>
          <w:noProof/>
          <w:sz w:val="24"/>
          <w:szCs w:val="24"/>
        </w:rPr>
        <w:tab/>
      </w:r>
      <w:r w:rsidRPr="00C716BC">
        <w:rPr>
          <w:rFonts w:ascii="Times New Roman" w:eastAsia="Calibri" w:hAnsi="Times New Roman" w:cs="Times New Roman"/>
          <w:noProof/>
          <w:sz w:val="24"/>
          <w:szCs w:val="24"/>
        </w:rPr>
        <w:t xml:space="preserve">Market Imperfections </w:t>
      </w:r>
      <w:r w:rsidRPr="00C716BC">
        <w:rPr>
          <w:rFonts w:ascii="Times New Roman" w:eastAsia="Calibri" w:hAnsi="Times New Roman" w:cs="Times New Roman"/>
          <w:noProof/>
          <w:webHidden/>
          <w:sz w:val="24"/>
          <w:szCs w:val="24"/>
        </w:rPr>
        <w:tab/>
      </w:r>
      <w:r w:rsidR="009C6E4A">
        <w:rPr>
          <w:rFonts w:ascii="Times New Roman" w:eastAsia="Calibri" w:hAnsi="Times New Roman" w:cs="Times New Roman"/>
          <w:noProof/>
          <w:webHidden/>
          <w:sz w:val="24"/>
          <w:szCs w:val="24"/>
        </w:rPr>
        <w:t>17</w:t>
      </w:r>
    </w:p>
    <w:p w14:paraId="0F5CE0CC" w14:textId="3F429CD1" w:rsidR="00C716BC" w:rsidRPr="00C716BC" w:rsidRDefault="00C716BC" w:rsidP="00C716BC">
      <w:pPr>
        <w:tabs>
          <w:tab w:val="left" w:pos="880"/>
          <w:tab w:val="right" w:leader="dot" w:pos="9350"/>
        </w:tabs>
        <w:spacing w:after="100"/>
        <w:ind w:left="720" w:hanging="270"/>
        <w:rPr>
          <w:rFonts w:ascii="Times New Roman" w:eastAsia="Calibri" w:hAnsi="Times New Roman" w:cs="Times New Roman"/>
          <w:noProof/>
          <w:webHidden/>
          <w:sz w:val="24"/>
          <w:szCs w:val="24"/>
        </w:rPr>
      </w:pPr>
      <w:r w:rsidRPr="00C716BC">
        <w:rPr>
          <w:rFonts w:ascii="Times New Roman" w:eastAsia="Calibri" w:hAnsi="Times New Roman" w:cs="Times New Roman"/>
          <w:noProof/>
          <w:sz w:val="24"/>
          <w:szCs w:val="24"/>
        </w:rPr>
        <w:t>B.</w:t>
      </w:r>
      <w:r w:rsidRPr="00C716BC">
        <w:rPr>
          <w:rFonts w:ascii="Times New Roman" w:hAnsi="Times New Roman" w:cs="Times New Roman"/>
          <w:noProof/>
          <w:sz w:val="24"/>
          <w:szCs w:val="24"/>
        </w:rPr>
        <w:tab/>
      </w:r>
      <w:r w:rsidRPr="00C716BC">
        <w:rPr>
          <w:rFonts w:ascii="Times New Roman" w:eastAsia="Calibri" w:hAnsi="Times New Roman" w:cs="Times New Roman"/>
          <w:noProof/>
          <w:sz w:val="24"/>
          <w:szCs w:val="24"/>
        </w:rPr>
        <w:t>Distribution</w:t>
      </w:r>
      <w:r w:rsidRPr="00C716BC">
        <w:rPr>
          <w:rFonts w:ascii="Times New Roman" w:eastAsia="Calibri" w:hAnsi="Times New Roman" w:cs="Times New Roman"/>
          <w:noProof/>
          <w:webHidden/>
          <w:sz w:val="24"/>
          <w:szCs w:val="24"/>
        </w:rPr>
        <w:tab/>
      </w:r>
      <w:r w:rsidR="009C6E4A">
        <w:rPr>
          <w:rFonts w:ascii="Times New Roman" w:eastAsia="Calibri" w:hAnsi="Times New Roman" w:cs="Times New Roman"/>
          <w:noProof/>
          <w:webHidden/>
          <w:sz w:val="24"/>
          <w:szCs w:val="24"/>
        </w:rPr>
        <w:t>19</w:t>
      </w:r>
    </w:p>
    <w:p w14:paraId="7928BB63" w14:textId="3A9CD28C" w:rsidR="00C716BC" w:rsidRPr="00C716BC" w:rsidRDefault="00C716BC" w:rsidP="00C716BC">
      <w:pPr>
        <w:tabs>
          <w:tab w:val="left" w:pos="880"/>
          <w:tab w:val="right" w:leader="dot" w:pos="9350"/>
        </w:tabs>
        <w:spacing w:after="100"/>
        <w:ind w:left="720" w:hanging="270"/>
        <w:rPr>
          <w:rFonts w:ascii="Times New Roman" w:eastAsia="Calibri" w:hAnsi="Times New Roman" w:cs="Times New Roman"/>
          <w:noProof/>
          <w:sz w:val="24"/>
          <w:szCs w:val="24"/>
        </w:rPr>
      </w:pPr>
      <w:r w:rsidRPr="00C716BC">
        <w:rPr>
          <w:rFonts w:ascii="Times New Roman" w:eastAsia="Calibri" w:hAnsi="Times New Roman" w:cs="Times New Roman"/>
          <w:noProof/>
          <w:webHidden/>
          <w:sz w:val="24"/>
          <w:szCs w:val="24"/>
        </w:rPr>
        <w:t xml:space="preserve">C. </w:t>
      </w:r>
      <w:r w:rsidRPr="00C716BC">
        <w:rPr>
          <w:rFonts w:ascii="Times New Roman" w:eastAsia="Calibri" w:hAnsi="Times New Roman" w:cs="Times New Roman"/>
          <w:noProof/>
          <w:sz w:val="24"/>
          <w:szCs w:val="24"/>
        </w:rPr>
        <w:t xml:space="preserve">Impact on the </w:t>
      </w:r>
      <w:r w:rsidR="00EA239F">
        <w:rPr>
          <w:rFonts w:ascii="Times New Roman" w:eastAsia="Calibri" w:hAnsi="Times New Roman" w:cs="Times New Roman"/>
          <w:noProof/>
          <w:sz w:val="24"/>
          <w:szCs w:val="24"/>
        </w:rPr>
        <w:t xml:space="preserve">Self-Interested </w:t>
      </w:r>
      <w:r w:rsidRPr="00C716BC">
        <w:rPr>
          <w:rFonts w:ascii="Times New Roman" w:eastAsia="Calibri" w:hAnsi="Times New Roman" w:cs="Times New Roman"/>
          <w:noProof/>
          <w:sz w:val="24"/>
          <w:szCs w:val="24"/>
        </w:rPr>
        <w:t>Individual Shareholder Beyond Receipt of Residuals</w:t>
      </w:r>
      <w:r w:rsidRPr="00C716BC">
        <w:rPr>
          <w:rFonts w:ascii="Times New Roman" w:eastAsia="Calibri" w:hAnsi="Times New Roman" w:cs="Times New Roman"/>
          <w:noProof/>
          <w:sz w:val="24"/>
          <w:szCs w:val="24"/>
        </w:rPr>
        <w:tab/>
      </w:r>
      <w:r w:rsidR="009C6E4A">
        <w:rPr>
          <w:rFonts w:ascii="Times New Roman" w:eastAsia="Calibri" w:hAnsi="Times New Roman" w:cs="Times New Roman"/>
          <w:noProof/>
          <w:sz w:val="24"/>
          <w:szCs w:val="24"/>
        </w:rPr>
        <w:t>21</w:t>
      </w:r>
    </w:p>
    <w:p w14:paraId="4BF2ABE8" w14:textId="641F61AE" w:rsidR="00C716BC" w:rsidRPr="00C716BC" w:rsidRDefault="00C716BC" w:rsidP="00C716BC">
      <w:pPr>
        <w:tabs>
          <w:tab w:val="left" w:pos="450"/>
          <w:tab w:val="right" w:leader="dot" w:pos="9350"/>
        </w:tabs>
        <w:spacing w:after="100"/>
        <w:ind w:left="450" w:hanging="450"/>
        <w:rPr>
          <w:rFonts w:ascii="Times New Roman" w:eastAsia="Calibri" w:hAnsi="Times New Roman" w:cs="Times New Roman"/>
          <w:noProof/>
          <w:webHidden/>
          <w:sz w:val="24"/>
          <w:szCs w:val="24"/>
        </w:rPr>
      </w:pPr>
      <w:r w:rsidRPr="00C716BC">
        <w:rPr>
          <w:rFonts w:ascii="Times New Roman" w:eastAsia="Calibri" w:hAnsi="Times New Roman" w:cs="Times New Roman"/>
          <w:noProof/>
          <w:sz w:val="24"/>
          <w:szCs w:val="24"/>
        </w:rPr>
        <w:t>II.</w:t>
      </w:r>
      <w:r w:rsidRPr="00C716BC">
        <w:rPr>
          <w:rFonts w:ascii="Times New Roman" w:hAnsi="Times New Roman" w:cs="Times New Roman"/>
          <w:noProof/>
          <w:sz w:val="24"/>
          <w:szCs w:val="24"/>
        </w:rPr>
        <w:tab/>
      </w:r>
      <w:r w:rsidRPr="00C716BC">
        <w:rPr>
          <w:rFonts w:ascii="Times New Roman" w:eastAsia="Calibri" w:hAnsi="Times New Roman" w:cs="Times New Roman"/>
          <w:noProof/>
          <w:sz w:val="24"/>
          <w:szCs w:val="24"/>
        </w:rPr>
        <w:t xml:space="preserve">The Influence of Shareholder Preferences Taking as Given the Exising Shareholder </w:t>
      </w:r>
      <w:r w:rsidR="009C6E4A">
        <w:rPr>
          <w:rFonts w:ascii="Times New Roman" w:eastAsia="Calibri" w:hAnsi="Times New Roman" w:cs="Times New Roman"/>
          <w:noProof/>
          <w:sz w:val="24"/>
          <w:szCs w:val="24"/>
        </w:rPr>
        <w:t xml:space="preserve">   </w:t>
      </w:r>
      <w:r w:rsidRPr="00C716BC">
        <w:rPr>
          <w:rFonts w:ascii="Times New Roman" w:eastAsia="Calibri" w:hAnsi="Times New Roman" w:cs="Times New Roman"/>
          <w:noProof/>
          <w:sz w:val="24"/>
          <w:szCs w:val="24"/>
        </w:rPr>
        <w:t>Makeup of Each Firm</w:t>
      </w:r>
      <w:r w:rsidRPr="00C716BC">
        <w:rPr>
          <w:rFonts w:ascii="Times New Roman" w:eastAsia="Calibri" w:hAnsi="Times New Roman" w:cs="Times New Roman"/>
          <w:noProof/>
          <w:webHidden/>
          <w:sz w:val="24"/>
          <w:szCs w:val="24"/>
        </w:rPr>
        <w:tab/>
      </w:r>
      <w:r w:rsidR="009C6E4A">
        <w:rPr>
          <w:rFonts w:ascii="Times New Roman" w:eastAsia="Calibri" w:hAnsi="Times New Roman" w:cs="Times New Roman"/>
          <w:noProof/>
          <w:webHidden/>
          <w:sz w:val="24"/>
          <w:szCs w:val="24"/>
        </w:rPr>
        <w:t>21</w:t>
      </w:r>
    </w:p>
    <w:p w14:paraId="66A863D6" w14:textId="72F6E3A8" w:rsidR="002E375E" w:rsidRPr="00C716BC" w:rsidRDefault="00C716BC" w:rsidP="002E375E">
      <w:pPr>
        <w:tabs>
          <w:tab w:val="left" w:pos="880"/>
          <w:tab w:val="right" w:leader="dot" w:pos="9350"/>
        </w:tabs>
        <w:spacing w:after="100"/>
        <w:ind w:left="720" w:hanging="270"/>
        <w:rPr>
          <w:rFonts w:ascii="Times New Roman" w:eastAsia="Calibri" w:hAnsi="Times New Roman" w:cs="Times New Roman"/>
          <w:noProof/>
          <w:webHidden/>
          <w:sz w:val="24"/>
          <w:szCs w:val="24"/>
        </w:rPr>
      </w:pPr>
      <w:r w:rsidRPr="00C716BC">
        <w:rPr>
          <w:rFonts w:ascii="Times New Roman" w:eastAsia="Calibri" w:hAnsi="Times New Roman" w:cs="Times New Roman"/>
          <w:noProof/>
          <w:sz w:val="24"/>
          <w:szCs w:val="24"/>
        </w:rPr>
        <w:t>A.</w:t>
      </w:r>
      <w:r w:rsidRPr="00C716BC">
        <w:rPr>
          <w:rFonts w:ascii="Times New Roman" w:hAnsi="Times New Roman" w:cs="Times New Roman"/>
          <w:noProof/>
          <w:sz w:val="24"/>
          <w:szCs w:val="24"/>
        </w:rPr>
        <w:tab/>
      </w:r>
      <w:r w:rsidR="002E375E">
        <w:rPr>
          <w:rFonts w:ascii="Times New Roman" w:hAnsi="Times New Roman" w:cs="Times New Roman"/>
          <w:noProof/>
          <w:sz w:val="24"/>
          <w:szCs w:val="24"/>
        </w:rPr>
        <w:t>The Role of Shareholders</w:t>
      </w:r>
      <w:r w:rsidR="00633938">
        <w:rPr>
          <w:rFonts w:ascii="Times New Roman" w:hAnsi="Times New Roman" w:cs="Times New Roman"/>
          <w:noProof/>
          <w:sz w:val="24"/>
          <w:szCs w:val="24"/>
        </w:rPr>
        <w:t xml:space="preserve"> and Managers</w:t>
      </w:r>
      <w:r w:rsidR="002E375E" w:rsidRPr="00C716BC">
        <w:rPr>
          <w:rFonts w:ascii="Times New Roman" w:eastAsia="Calibri" w:hAnsi="Times New Roman" w:cs="Times New Roman"/>
          <w:noProof/>
          <w:webHidden/>
          <w:sz w:val="24"/>
          <w:szCs w:val="24"/>
        </w:rPr>
        <w:tab/>
      </w:r>
      <w:r w:rsidR="009C6E4A">
        <w:rPr>
          <w:rFonts w:ascii="Times New Roman" w:eastAsia="Calibri" w:hAnsi="Times New Roman" w:cs="Times New Roman"/>
          <w:noProof/>
          <w:webHidden/>
          <w:sz w:val="24"/>
          <w:szCs w:val="24"/>
        </w:rPr>
        <w:t>22</w:t>
      </w:r>
    </w:p>
    <w:p w14:paraId="37B9B268" w14:textId="3C345B1F" w:rsidR="00C716BC" w:rsidRPr="00C716BC" w:rsidRDefault="002E375E" w:rsidP="00C716BC">
      <w:pPr>
        <w:tabs>
          <w:tab w:val="left" w:pos="880"/>
          <w:tab w:val="right" w:leader="dot" w:pos="9350"/>
        </w:tabs>
        <w:spacing w:after="100"/>
        <w:ind w:left="720" w:hanging="270"/>
        <w:rPr>
          <w:rFonts w:ascii="Times New Roman" w:eastAsia="Calibri" w:hAnsi="Times New Roman" w:cs="Times New Roman"/>
          <w:noProof/>
          <w:webHidden/>
          <w:sz w:val="24"/>
          <w:szCs w:val="24"/>
        </w:rPr>
      </w:pPr>
      <w:r>
        <w:rPr>
          <w:rFonts w:ascii="Times New Roman" w:hAnsi="Times New Roman" w:cs="Times New Roman"/>
          <w:noProof/>
          <w:sz w:val="24"/>
          <w:szCs w:val="24"/>
        </w:rPr>
        <w:t xml:space="preserve">B. </w:t>
      </w:r>
      <w:r w:rsidR="00C716BC" w:rsidRPr="00C716BC">
        <w:rPr>
          <w:rFonts w:ascii="Times New Roman" w:eastAsia="Calibri" w:hAnsi="Times New Roman" w:cs="Times New Roman"/>
          <w:noProof/>
          <w:sz w:val="24"/>
          <w:szCs w:val="24"/>
        </w:rPr>
        <w:t xml:space="preserve">The Interests of Management </w:t>
      </w:r>
      <w:r w:rsidR="00C716BC" w:rsidRPr="00C716BC">
        <w:rPr>
          <w:rFonts w:ascii="Times New Roman" w:eastAsia="Calibri" w:hAnsi="Times New Roman" w:cs="Times New Roman"/>
          <w:noProof/>
          <w:webHidden/>
          <w:sz w:val="24"/>
          <w:szCs w:val="24"/>
        </w:rPr>
        <w:tab/>
      </w:r>
      <w:r w:rsidR="009C6E4A">
        <w:rPr>
          <w:rFonts w:ascii="Times New Roman" w:eastAsia="Calibri" w:hAnsi="Times New Roman" w:cs="Times New Roman"/>
          <w:noProof/>
          <w:webHidden/>
          <w:sz w:val="24"/>
          <w:szCs w:val="24"/>
        </w:rPr>
        <w:t>24</w:t>
      </w:r>
    </w:p>
    <w:p w14:paraId="69FE126D" w14:textId="7A79C7F2" w:rsidR="00C716BC" w:rsidRPr="00C716BC" w:rsidRDefault="002E375E" w:rsidP="00C716BC">
      <w:pPr>
        <w:tabs>
          <w:tab w:val="left" w:pos="880"/>
          <w:tab w:val="right" w:leader="dot" w:pos="9350"/>
        </w:tabs>
        <w:spacing w:after="100"/>
        <w:ind w:left="720" w:hanging="270"/>
        <w:rPr>
          <w:rFonts w:ascii="Times New Roman" w:eastAsia="Calibri" w:hAnsi="Times New Roman" w:cs="Times New Roman"/>
          <w:noProof/>
          <w:webHidden/>
          <w:sz w:val="24"/>
          <w:szCs w:val="24"/>
        </w:rPr>
      </w:pPr>
      <w:r>
        <w:rPr>
          <w:rFonts w:ascii="Times New Roman" w:eastAsia="Calibri" w:hAnsi="Times New Roman" w:cs="Times New Roman"/>
          <w:noProof/>
          <w:sz w:val="24"/>
          <w:szCs w:val="24"/>
        </w:rPr>
        <w:t>C</w:t>
      </w:r>
      <w:r w:rsidR="00C716BC" w:rsidRPr="00C716BC">
        <w:rPr>
          <w:rFonts w:ascii="Times New Roman" w:eastAsia="Calibri" w:hAnsi="Times New Roman" w:cs="Times New Roman"/>
          <w:noProof/>
          <w:sz w:val="24"/>
          <w:szCs w:val="24"/>
        </w:rPr>
        <w:t>.</w:t>
      </w:r>
      <w:r w:rsidR="00C716BC" w:rsidRPr="00C716BC">
        <w:rPr>
          <w:rFonts w:ascii="Times New Roman" w:hAnsi="Times New Roman" w:cs="Times New Roman"/>
          <w:noProof/>
          <w:sz w:val="24"/>
          <w:szCs w:val="24"/>
        </w:rPr>
        <w:tab/>
      </w:r>
      <w:r w:rsidR="00C716BC" w:rsidRPr="00C716BC">
        <w:rPr>
          <w:rFonts w:ascii="Times New Roman" w:eastAsia="Calibri" w:hAnsi="Times New Roman" w:cs="Times New Roman"/>
          <w:noProof/>
          <w:sz w:val="24"/>
          <w:szCs w:val="24"/>
        </w:rPr>
        <w:t>The Shareholder Franchise</w:t>
      </w:r>
      <w:r w:rsidR="00C716BC" w:rsidRPr="00C716BC">
        <w:rPr>
          <w:rFonts w:ascii="Times New Roman" w:eastAsia="Calibri" w:hAnsi="Times New Roman" w:cs="Times New Roman"/>
          <w:noProof/>
          <w:webHidden/>
          <w:sz w:val="24"/>
          <w:szCs w:val="24"/>
        </w:rPr>
        <w:tab/>
      </w:r>
      <w:r w:rsidR="009C6E4A">
        <w:rPr>
          <w:rFonts w:ascii="Times New Roman" w:eastAsia="Calibri" w:hAnsi="Times New Roman" w:cs="Times New Roman"/>
          <w:noProof/>
          <w:webHidden/>
          <w:sz w:val="24"/>
          <w:szCs w:val="24"/>
        </w:rPr>
        <w:t>26</w:t>
      </w:r>
    </w:p>
    <w:p w14:paraId="5315C6D9" w14:textId="65206F68" w:rsidR="00C716BC" w:rsidRPr="00C716BC" w:rsidRDefault="002E375E" w:rsidP="00C716BC">
      <w:pPr>
        <w:tabs>
          <w:tab w:val="left" w:pos="880"/>
          <w:tab w:val="right" w:leader="dot" w:pos="9350"/>
        </w:tabs>
        <w:spacing w:after="100"/>
        <w:ind w:left="720" w:hanging="270"/>
        <w:rPr>
          <w:rFonts w:ascii="Times New Roman" w:eastAsia="Calibri" w:hAnsi="Times New Roman" w:cs="Times New Roman"/>
          <w:noProof/>
          <w:sz w:val="24"/>
          <w:szCs w:val="24"/>
        </w:rPr>
      </w:pPr>
      <w:r>
        <w:rPr>
          <w:rFonts w:ascii="Times New Roman" w:eastAsia="Calibri" w:hAnsi="Times New Roman" w:cs="Times New Roman"/>
          <w:noProof/>
          <w:sz w:val="24"/>
          <w:szCs w:val="24"/>
        </w:rPr>
        <w:t>D</w:t>
      </w:r>
      <w:r w:rsidR="00C716BC" w:rsidRPr="00C716BC">
        <w:rPr>
          <w:rFonts w:ascii="Times New Roman" w:eastAsia="Calibri" w:hAnsi="Times New Roman" w:cs="Times New Roman"/>
          <w:noProof/>
          <w:sz w:val="24"/>
          <w:szCs w:val="24"/>
        </w:rPr>
        <w:t>.</w:t>
      </w:r>
      <w:r w:rsidR="00C716BC" w:rsidRPr="00C716BC">
        <w:rPr>
          <w:rFonts w:ascii="Times New Roman" w:hAnsi="Times New Roman" w:cs="Times New Roman"/>
          <w:noProof/>
          <w:sz w:val="24"/>
          <w:szCs w:val="24"/>
        </w:rPr>
        <w:tab/>
      </w:r>
      <w:r w:rsidR="00C716BC" w:rsidRPr="00C716BC">
        <w:rPr>
          <w:rFonts w:ascii="Times New Roman" w:eastAsia="Calibri" w:hAnsi="Times New Roman" w:cs="Times New Roman"/>
          <w:noProof/>
          <w:sz w:val="24"/>
          <w:szCs w:val="24"/>
        </w:rPr>
        <w:t>The Other Features of the Corporate Governance Framework</w:t>
      </w:r>
      <w:r w:rsidR="00C716BC" w:rsidRPr="00C716BC">
        <w:rPr>
          <w:rFonts w:ascii="Times New Roman" w:eastAsia="Calibri" w:hAnsi="Times New Roman" w:cs="Times New Roman"/>
          <w:noProof/>
          <w:webHidden/>
          <w:sz w:val="24"/>
          <w:szCs w:val="24"/>
        </w:rPr>
        <w:tab/>
      </w:r>
      <w:r w:rsidR="009C6E4A">
        <w:rPr>
          <w:rFonts w:ascii="Times New Roman" w:eastAsia="Calibri" w:hAnsi="Times New Roman" w:cs="Times New Roman"/>
          <w:noProof/>
          <w:webHidden/>
          <w:sz w:val="24"/>
          <w:szCs w:val="24"/>
        </w:rPr>
        <w:t>47</w:t>
      </w:r>
    </w:p>
    <w:p w14:paraId="057A5837" w14:textId="5E767CC3" w:rsidR="00C716BC" w:rsidRPr="00C716BC" w:rsidRDefault="00C716BC" w:rsidP="00C716BC">
      <w:pPr>
        <w:tabs>
          <w:tab w:val="left" w:pos="450"/>
          <w:tab w:val="right" w:leader="dot" w:pos="9350"/>
        </w:tabs>
        <w:spacing w:after="100"/>
        <w:ind w:left="450" w:hanging="450"/>
        <w:rPr>
          <w:rFonts w:ascii="Times New Roman" w:eastAsia="Calibri" w:hAnsi="Times New Roman" w:cs="Times New Roman"/>
          <w:noProof/>
          <w:webHidden/>
          <w:sz w:val="24"/>
          <w:szCs w:val="24"/>
        </w:rPr>
      </w:pPr>
      <w:r w:rsidRPr="00C716BC">
        <w:rPr>
          <w:rFonts w:ascii="Times New Roman" w:eastAsia="Calibri" w:hAnsi="Times New Roman" w:cs="Times New Roman"/>
          <w:noProof/>
          <w:sz w:val="24"/>
          <w:szCs w:val="24"/>
        </w:rPr>
        <w:t>III.</w:t>
      </w:r>
      <w:r w:rsidRPr="00C716BC">
        <w:rPr>
          <w:rFonts w:ascii="Times New Roman" w:hAnsi="Times New Roman" w:cs="Times New Roman"/>
          <w:noProof/>
          <w:sz w:val="24"/>
          <w:szCs w:val="24"/>
        </w:rPr>
        <w:tab/>
      </w:r>
      <w:r w:rsidRPr="00C716BC">
        <w:rPr>
          <w:rFonts w:ascii="Times New Roman" w:eastAsia="Calibri" w:hAnsi="Times New Roman" w:cs="Times New Roman"/>
          <w:noProof/>
          <w:sz w:val="24"/>
          <w:szCs w:val="24"/>
        </w:rPr>
        <w:t>Factors Affecting the Shareholder Makeup of Firms and Their Implications for Firm Behavior</w:t>
      </w:r>
      <w:r w:rsidRPr="00C716BC">
        <w:rPr>
          <w:rFonts w:ascii="Times New Roman" w:eastAsia="Calibri" w:hAnsi="Times New Roman" w:cs="Times New Roman"/>
          <w:noProof/>
          <w:webHidden/>
          <w:sz w:val="24"/>
          <w:szCs w:val="24"/>
        </w:rPr>
        <w:tab/>
      </w:r>
      <w:r w:rsidR="009C6E4A">
        <w:rPr>
          <w:rFonts w:ascii="Times New Roman" w:eastAsia="Calibri" w:hAnsi="Times New Roman" w:cs="Times New Roman"/>
          <w:noProof/>
          <w:webHidden/>
          <w:sz w:val="24"/>
          <w:szCs w:val="24"/>
        </w:rPr>
        <w:t>54</w:t>
      </w:r>
    </w:p>
    <w:p w14:paraId="4196E03E" w14:textId="4C11F78A" w:rsidR="00C716BC" w:rsidRPr="00C716BC" w:rsidRDefault="00C716BC" w:rsidP="00C716BC">
      <w:pPr>
        <w:tabs>
          <w:tab w:val="left" w:pos="880"/>
          <w:tab w:val="right" w:leader="dot" w:pos="9350"/>
        </w:tabs>
        <w:spacing w:after="100"/>
        <w:ind w:left="720" w:hanging="270"/>
        <w:rPr>
          <w:rFonts w:ascii="Times New Roman" w:eastAsia="Calibri" w:hAnsi="Times New Roman" w:cs="Times New Roman"/>
          <w:noProof/>
          <w:webHidden/>
          <w:sz w:val="24"/>
          <w:szCs w:val="24"/>
        </w:rPr>
      </w:pPr>
      <w:r w:rsidRPr="00C716BC">
        <w:rPr>
          <w:rFonts w:ascii="Times New Roman" w:eastAsia="Calibri" w:hAnsi="Times New Roman" w:cs="Times New Roman"/>
          <w:noProof/>
          <w:sz w:val="24"/>
          <w:szCs w:val="24"/>
        </w:rPr>
        <w:t>A.</w:t>
      </w:r>
      <w:r w:rsidRPr="00C716BC">
        <w:rPr>
          <w:rFonts w:ascii="Times New Roman" w:hAnsi="Times New Roman" w:cs="Times New Roman"/>
          <w:noProof/>
          <w:sz w:val="24"/>
          <w:szCs w:val="24"/>
        </w:rPr>
        <w:tab/>
      </w:r>
      <w:r w:rsidR="00FE1F96">
        <w:rPr>
          <w:rFonts w:ascii="Times New Roman" w:eastAsia="Calibri" w:hAnsi="Times New Roman" w:cs="Times New Roman"/>
          <w:noProof/>
          <w:sz w:val="24"/>
          <w:szCs w:val="24"/>
        </w:rPr>
        <w:t>Different Types of Investing</w:t>
      </w:r>
      <w:r w:rsidRPr="00C716BC">
        <w:rPr>
          <w:rFonts w:ascii="Times New Roman" w:eastAsia="Calibri" w:hAnsi="Times New Roman" w:cs="Times New Roman"/>
          <w:noProof/>
          <w:sz w:val="24"/>
          <w:szCs w:val="24"/>
        </w:rPr>
        <w:t xml:space="preserve"> </w:t>
      </w:r>
      <w:r w:rsidRPr="00C716BC">
        <w:rPr>
          <w:rFonts w:ascii="Times New Roman" w:eastAsia="Calibri" w:hAnsi="Times New Roman" w:cs="Times New Roman"/>
          <w:noProof/>
          <w:webHidden/>
          <w:sz w:val="24"/>
          <w:szCs w:val="24"/>
        </w:rPr>
        <w:tab/>
      </w:r>
      <w:r w:rsidR="009C6E4A">
        <w:rPr>
          <w:rFonts w:ascii="Times New Roman" w:eastAsia="Calibri" w:hAnsi="Times New Roman" w:cs="Times New Roman"/>
          <w:noProof/>
          <w:webHidden/>
          <w:sz w:val="24"/>
          <w:szCs w:val="24"/>
        </w:rPr>
        <w:t>56</w:t>
      </w:r>
    </w:p>
    <w:p w14:paraId="54256F15" w14:textId="41D4CDA7" w:rsidR="00C716BC" w:rsidRPr="00E0689B" w:rsidRDefault="00C716BC" w:rsidP="00C716BC">
      <w:pPr>
        <w:tabs>
          <w:tab w:val="left" w:pos="880"/>
          <w:tab w:val="right" w:leader="dot" w:pos="9350"/>
        </w:tabs>
        <w:spacing w:after="100"/>
        <w:ind w:left="720" w:hanging="270"/>
        <w:rPr>
          <w:rFonts w:ascii="Times New Roman" w:eastAsia="Calibri" w:hAnsi="Times New Roman" w:cs="Times New Roman"/>
          <w:noProof/>
          <w:webHidden/>
          <w:sz w:val="24"/>
          <w:szCs w:val="24"/>
        </w:rPr>
      </w:pPr>
      <w:r w:rsidRPr="00C716BC">
        <w:rPr>
          <w:rFonts w:ascii="Times New Roman" w:eastAsia="Calibri" w:hAnsi="Times New Roman" w:cs="Times New Roman"/>
          <w:noProof/>
          <w:sz w:val="24"/>
          <w:szCs w:val="24"/>
        </w:rPr>
        <w:t>B.</w:t>
      </w:r>
      <w:r w:rsidRPr="00C716BC">
        <w:rPr>
          <w:rFonts w:ascii="Times New Roman" w:hAnsi="Times New Roman" w:cs="Times New Roman"/>
          <w:noProof/>
          <w:sz w:val="24"/>
          <w:szCs w:val="24"/>
        </w:rPr>
        <w:tab/>
      </w:r>
      <w:r w:rsidR="00FE1F96">
        <w:rPr>
          <w:rFonts w:ascii="Times New Roman" w:eastAsia="Calibri" w:hAnsi="Times New Roman" w:cs="Times New Roman"/>
          <w:noProof/>
          <w:sz w:val="24"/>
          <w:szCs w:val="24"/>
        </w:rPr>
        <w:t>The Prevalence of the Different Types of Equity Investors</w:t>
      </w:r>
      <w:r w:rsidRPr="00C716BC">
        <w:rPr>
          <w:rFonts w:ascii="Times New Roman" w:eastAsia="Calibri" w:hAnsi="Times New Roman" w:cs="Times New Roman"/>
          <w:noProof/>
          <w:sz w:val="24"/>
          <w:szCs w:val="24"/>
        </w:rPr>
        <w:t xml:space="preserve"> </w:t>
      </w:r>
      <w:r w:rsidRPr="00C716BC">
        <w:rPr>
          <w:rFonts w:ascii="Times New Roman" w:eastAsia="Calibri" w:hAnsi="Times New Roman" w:cs="Times New Roman"/>
          <w:noProof/>
          <w:webHidden/>
          <w:sz w:val="24"/>
          <w:szCs w:val="24"/>
        </w:rPr>
        <w:tab/>
      </w:r>
      <w:r w:rsidR="009C6E4A">
        <w:rPr>
          <w:rFonts w:ascii="Times New Roman" w:eastAsia="Calibri" w:hAnsi="Times New Roman" w:cs="Times New Roman"/>
          <w:noProof/>
          <w:webHidden/>
          <w:sz w:val="24"/>
          <w:szCs w:val="24"/>
        </w:rPr>
        <w:t>59</w:t>
      </w:r>
    </w:p>
    <w:p w14:paraId="6BE2D4AD" w14:textId="29131399" w:rsidR="00FE1F96" w:rsidRDefault="00C716BC" w:rsidP="00C716BC">
      <w:pPr>
        <w:tabs>
          <w:tab w:val="left" w:pos="880"/>
          <w:tab w:val="right" w:leader="dot" w:pos="9350"/>
        </w:tabs>
        <w:spacing w:after="100"/>
        <w:ind w:left="720" w:hanging="270"/>
        <w:rPr>
          <w:rFonts w:ascii="Times New Roman" w:eastAsia="Calibri" w:hAnsi="Times New Roman" w:cs="Times New Roman"/>
          <w:noProof/>
          <w:sz w:val="24"/>
          <w:szCs w:val="24"/>
        </w:rPr>
      </w:pPr>
      <w:r w:rsidRPr="00E0689B">
        <w:rPr>
          <w:rFonts w:ascii="Times New Roman" w:eastAsia="Calibri" w:hAnsi="Times New Roman" w:cs="Times New Roman"/>
          <w:noProof/>
          <w:sz w:val="24"/>
          <w:szCs w:val="24"/>
        </w:rPr>
        <w:t>C.</w:t>
      </w:r>
      <w:r w:rsidRPr="00E0689B">
        <w:rPr>
          <w:rFonts w:ascii="Times New Roman" w:hAnsi="Times New Roman" w:cs="Times New Roman"/>
          <w:noProof/>
          <w:sz w:val="24"/>
          <w:szCs w:val="24"/>
        </w:rPr>
        <w:tab/>
      </w:r>
      <w:r w:rsidR="00FE1F96">
        <w:rPr>
          <w:rFonts w:ascii="Times New Roman" w:eastAsia="Calibri" w:hAnsi="Times New Roman" w:cs="Times New Roman"/>
          <w:noProof/>
          <w:sz w:val="24"/>
          <w:szCs w:val="24"/>
        </w:rPr>
        <w:t>The Impact of Investor Sorting on the Use of the Franchise to Affect Corporate</w:t>
      </w:r>
    </w:p>
    <w:p w14:paraId="3B235A30" w14:textId="1CE56375" w:rsidR="00C716BC" w:rsidRDefault="00FE1F96" w:rsidP="00C716BC">
      <w:pPr>
        <w:tabs>
          <w:tab w:val="left" w:pos="880"/>
          <w:tab w:val="right" w:leader="dot" w:pos="9350"/>
        </w:tabs>
        <w:spacing w:after="100"/>
        <w:ind w:left="720" w:hanging="270"/>
        <w:rPr>
          <w:rFonts w:ascii="Times New Roman" w:eastAsia="Calibri" w:hAnsi="Times New Roman" w:cs="Times New Roman"/>
          <w:noProof/>
          <w:webHidden/>
          <w:sz w:val="24"/>
          <w:szCs w:val="24"/>
        </w:rPr>
      </w:pPr>
      <w:r>
        <w:rPr>
          <w:rFonts w:ascii="Times New Roman" w:eastAsia="Calibri" w:hAnsi="Times New Roman" w:cs="Times New Roman"/>
          <w:noProof/>
          <w:sz w:val="24"/>
          <w:szCs w:val="24"/>
        </w:rPr>
        <w:tab/>
        <w:t>Behavior</w:t>
      </w:r>
      <w:r w:rsidR="00C716BC" w:rsidRPr="00E0689B">
        <w:rPr>
          <w:rFonts w:ascii="Times New Roman" w:eastAsia="Calibri" w:hAnsi="Times New Roman" w:cs="Times New Roman"/>
          <w:noProof/>
          <w:sz w:val="24"/>
          <w:szCs w:val="24"/>
        </w:rPr>
        <w:t xml:space="preserve"> </w:t>
      </w:r>
      <w:r w:rsidR="00C716BC" w:rsidRPr="00E0689B">
        <w:rPr>
          <w:rFonts w:ascii="Times New Roman" w:eastAsia="Calibri" w:hAnsi="Times New Roman" w:cs="Times New Roman"/>
          <w:noProof/>
          <w:webHidden/>
          <w:sz w:val="24"/>
          <w:szCs w:val="24"/>
        </w:rPr>
        <w:tab/>
      </w:r>
      <w:r w:rsidR="009C6E4A">
        <w:rPr>
          <w:rFonts w:ascii="Times New Roman" w:eastAsia="Calibri" w:hAnsi="Times New Roman" w:cs="Times New Roman"/>
          <w:noProof/>
          <w:webHidden/>
          <w:sz w:val="24"/>
          <w:szCs w:val="24"/>
        </w:rPr>
        <w:t>65</w:t>
      </w:r>
    </w:p>
    <w:p w14:paraId="69AF823A" w14:textId="15A354EC" w:rsidR="00FE1F96" w:rsidRDefault="00FE1F96" w:rsidP="00C716BC">
      <w:pPr>
        <w:tabs>
          <w:tab w:val="left" w:pos="880"/>
          <w:tab w:val="right" w:leader="dot" w:pos="9350"/>
        </w:tabs>
        <w:spacing w:after="100"/>
        <w:ind w:left="720" w:hanging="270"/>
        <w:rPr>
          <w:rFonts w:ascii="Times New Roman" w:eastAsia="Calibri" w:hAnsi="Times New Roman" w:cs="Times New Roman"/>
          <w:noProof/>
          <w:webHidden/>
          <w:sz w:val="24"/>
          <w:szCs w:val="24"/>
        </w:rPr>
      </w:pPr>
      <w:r>
        <w:rPr>
          <w:rFonts w:ascii="Times New Roman" w:eastAsia="Calibri" w:hAnsi="Times New Roman" w:cs="Times New Roman"/>
          <w:noProof/>
          <w:sz w:val="24"/>
          <w:szCs w:val="24"/>
        </w:rPr>
        <w:t>D</w:t>
      </w:r>
      <w:r w:rsidRPr="00C716BC">
        <w:rPr>
          <w:rFonts w:ascii="Times New Roman" w:eastAsia="Calibri" w:hAnsi="Times New Roman" w:cs="Times New Roman"/>
          <w:noProof/>
          <w:sz w:val="24"/>
          <w:szCs w:val="24"/>
        </w:rPr>
        <w:t>.</w:t>
      </w:r>
      <w:r w:rsidRPr="00C716BC">
        <w:rPr>
          <w:rFonts w:ascii="Times New Roman" w:hAnsi="Times New Roman" w:cs="Times New Roman"/>
          <w:noProof/>
          <w:sz w:val="24"/>
          <w:szCs w:val="24"/>
        </w:rPr>
        <w:tab/>
      </w:r>
      <w:r>
        <w:rPr>
          <w:rFonts w:ascii="Times New Roman" w:eastAsia="Calibri" w:hAnsi="Times New Roman" w:cs="Times New Roman"/>
          <w:noProof/>
          <w:sz w:val="24"/>
          <w:szCs w:val="24"/>
        </w:rPr>
        <w:t>The Price Effects of Investor Sorting</w:t>
      </w:r>
      <w:r w:rsidRPr="00C716BC">
        <w:rPr>
          <w:rFonts w:ascii="Times New Roman" w:eastAsia="Calibri" w:hAnsi="Times New Roman" w:cs="Times New Roman"/>
          <w:noProof/>
          <w:sz w:val="24"/>
          <w:szCs w:val="24"/>
        </w:rPr>
        <w:t xml:space="preserve"> </w:t>
      </w:r>
      <w:r w:rsidRPr="00C716BC">
        <w:rPr>
          <w:rFonts w:ascii="Times New Roman" w:eastAsia="Calibri" w:hAnsi="Times New Roman" w:cs="Times New Roman"/>
          <w:noProof/>
          <w:webHidden/>
          <w:sz w:val="24"/>
          <w:szCs w:val="24"/>
        </w:rPr>
        <w:tab/>
      </w:r>
      <w:r w:rsidR="009C6E4A">
        <w:rPr>
          <w:rFonts w:ascii="Times New Roman" w:eastAsia="Calibri" w:hAnsi="Times New Roman" w:cs="Times New Roman"/>
          <w:noProof/>
          <w:webHidden/>
          <w:sz w:val="24"/>
          <w:szCs w:val="24"/>
        </w:rPr>
        <w:t>66</w:t>
      </w:r>
    </w:p>
    <w:p w14:paraId="5007ACEE" w14:textId="161E8F27" w:rsidR="00FE1F96" w:rsidRPr="00E0689B" w:rsidRDefault="00FE1F96" w:rsidP="00C716BC">
      <w:pPr>
        <w:tabs>
          <w:tab w:val="left" w:pos="880"/>
          <w:tab w:val="right" w:leader="dot" w:pos="9350"/>
        </w:tabs>
        <w:spacing w:after="100"/>
        <w:ind w:left="720" w:hanging="270"/>
        <w:rPr>
          <w:rFonts w:ascii="Times New Roman" w:eastAsia="Calibri" w:hAnsi="Times New Roman" w:cs="Times New Roman"/>
          <w:noProof/>
          <w:webHidden/>
          <w:sz w:val="24"/>
          <w:szCs w:val="24"/>
        </w:rPr>
      </w:pPr>
      <w:r>
        <w:rPr>
          <w:rFonts w:ascii="Times New Roman" w:eastAsia="Calibri" w:hAnsi="Times New Roman" w:cs="Times New Roman"/>
          <w:noProof/>
          <w:sz w:val="24"/>
          <w:szCs w:val="24"/>
        </w:rPr>
        <w:t>E</w:t>
      </w:r>
      <w:r w:rsidRPr="00C716BC">
        <w:rPr>
          <w:rFonts w:ascii="Times New Roman" w:eastAsia="Calibri" w:hAnsi="Times New Roman" w:cs="Times New Roman"/>
          <w:noProof/>
          <w:sz w:val="24"/>
          <w:szCs w:val="24"/>
        </w:rPr>
        <w:t>.</w:t>
      </w:r>
      <w:r w:rsidRPr="00C716BC">
        <w:rPr>
          <w:rFonts w:ascii="Times New Roman" w:hAnsi="Times New Roman" w:cs="Times New Roman"/>
          <w:noProof/>
          <w:sz w:val="24"/>
          <w:szCs w:val="24"/>
        </w:rPr>
        <w:tab/>
      </w:r>
      <w:r>
        <w:rPr>
          <w:rFonts w:ascii="Times New Roman" w:hAnsi="Times New Roman" w:cs="Times New Roman"/>
          <w:noProof/>
          <w:sz w:val="24"/>
          <w:szCs w:val="24"/>
        </w:rPr>
        <w:t>Policy Implications</w:t>
      </w:r>
      <w:r w:rsidRPr="00C716BC">
        <w:rPr>
          <w:rFonts w:ascii="Times New Roman" w:eastAsia="Calibri" w:hAnsi="Times New Roman" w:cs="Times New Roman"/>
          <w:noProof/>
          <w:webHidden/>
          <w:sz w:val="24"/>
          <w:szCs w:val="24"/>
        </w:rPr>
        <w:tab/>
      </w:r>
      <w:r w:rsidR="009C6E4A">
        <w:rPr>
          <w:rFonts w:ascii="Times New Roman" w:eastAsia="Calibri" w:hAnsi="Times New Roman" w:cs="Times New Roman"/>
          <w:noProof/>
          <w:webHidden/>
          <w:sz w:val="24"/>
          <w:szCs w:val="24"/>
        </w:rPr>
        <w:t>76</w:t>
      </w:r>
    </w:p>
    <w:p w14:paraId="625A64C8" w14:textId="7C6E16CD" w:rsidR="00D370C8" w:rsidRDefault="00D370C8" w:rsidP="00D370C8">
      <w:pPr>
        <w:tabs>
          <w:tab w:val="left" w:pos="450"/>
          <w:tab w:val="right" w:leader="dot" w:pos="9350"/>
        </w:tabs>
        <w:spacing w:after="100"/>
        <w:ind w:left="450" w:hanging="450"/>
        <w:rPr>
          <w:rFonts w:ascii="Times New Roman" w:eastAsia="Calibri" w:hAnsi="Times New Roman" w:cs="Times New Roman"/>
          <w:noProof/>
          <w:webHidden/>
          <w:sz w:val="24"/>
          <w:szCs w:val="24"/>
        </w:rPr>
      </w:pPr>
      <w:r w:rsidRPr="00C716BC">
        <w:rPr>
          <w:rFonts w:ascii="Times New Roman" w:eastAsia="Calibri" w:hAnsi="Times New Roman" w:cs="Times New Roman"/>
          <w:noProof/>
          <w:sz w:val="24"/>
          <w:szCs w:val="24"/>
        </w:rPr>
        <w:t>I</w:t>
      </w:r>
      <w:r>
        <w:rPr>
          <w:rFonts w:ascii="Times New Roman" w:eastAsia="Calibri" w:hAnsi="Times New Roman" w:cs="Times New Roman"/>
          <w:noProof/>
          <w:sz w:val="24"/>
          <w:szCs w:val="24"/>
        </w:rPr>
        <w:t>V</w:t>
      </w:r>
      <w:r w:rsidRPr="00C716BC">
        <w:rPr>
          <w:rFonts w:ascii="Times New Roman" w:eastAsia="Calibri" w:hAnsi="Times New Roman" w:cs="Times New Roman"/>
          <w:noProof/>
          <w:sz w:val="24"/>
          <w:szCs w:val="24"/>
        </w:rPr>
        <w:t>.</w:t>
      </w:r>
      <w:r w:rsidRPr="00C716BC">
        <w:rPr>
          <w:rFonts w:ascii="Times New Roman" w:hAnsi="Times New Roman" w:cs="Times New Roman"/>
          <w:noProof/>
          <w:sz w:val="24"/>
          <w:szCs w:val="24"/>
        </w:rPr>
        <w:tab/>
      </w:r>
      <w:r>
        <w:rPr>
          <w:rFonts w:ascii="Times New Roman" w:eastAsia="Calibri" w:hAnsi="Times New Roman" w:cs="Times New Roman"/>
          <w:noProof/>
          <w:sz w:val="24"/>
          <w:szCs w:val="24"/>
        </w:rPr>
        <w:t>Application of the Anlaysis to the Corporate Purpose Debate</w:t>
      </w:r>
      <w:r w:rsidRPr="00C716BC">
        <w:rPr>
          <w:rFonts w:ascii="Times New Roman" w:eastAsia="Calibri" w:hAnsi="Times New Roman" w:cs="Times New Roman"/>
          <w:noProof/>
          <w:webHidden/>
          <w:sz w:val="24"/>
          <w:szCs w:val="24"/>
        </w:rPr>
        <w:tab/>
      </w:r>
      <w:r w:rsidR="009C6E4A">
        <w:rPr>
          <w:rFonts w:ascii="Times New Roman" w:eastAsia="Calibri" w:hAnsi="Times New Roman" w:cs="Times New Roman"/>
          <w:noProof/>
          <w:webHidden/>
          <w:sz w:val="24"/>
          <w:szCs w:val="24"/>
        </w:rPr>
        <w:t>78</w:t>
      </w:r>
    </w:p>
    <w:p w14:paraId="5309BE2F" w14:textId="4D83DD3F" w:rsidR="00D370C8" w:rsidRPr="00C716BC" w:rsidRDefault="00D370C8" w:rsidP="00D370C8">
      <w:pPr>
        <w:tabs>
          <w:tab w:val="left" w:pos="880"/>
          <w:tab w:val="right" w:leader="dot" w:pos="9350"/>
        </w:tabs>
        <w:spacing w:after="100"/>
        <w:ind w:left="720" w:hanging="270"/>
        <w:rPr>
          <w:rFonts w:ascii="Times New Roman" w:eastAsia="Calibri" w:hAnsi="Times New Roman" w:cs="Times New Roman"/>
          <w:noProof/>
          <w:webHidden/>
          <w:sz w:val="24"/>
          <w:szCs w:val="24"/>
        </w:rPr>
      </w:pPr>
      <w:r w:rsidRPr="00C716BC">
        <w:rPr>
          <w:rFonts w:ascii="Times New Roman" w:eastAsia="Calibri" w:hAnsi="Times New Roman" w:cs="Times New Roman"/>
          <w:noProof/>
          <w:sz w:val="24"/>
          <w:szCs w:val="24"/>
        </w:rPr>
        <w:t>A.</w:t>
      </w:r>
      <w:r w:rsidRPr="00C716BC">
        <w:rPr>
          <w:rFonts w:ascii="Times New Roman" w:hAnsi="Times New Roman" w:cs="Times New Roman"/>
          <w:noProof/>
          <w:sz w:val="24"/>
          <w:szCs w:val="24"/>
        </w:rPr>
        <w:tab/>
      </w:r>
      <w:r>
        <w:rPr>
          <w:rFonts w:ascii="Times New Roman" w:eastAsia="Calibri" w:hAnsi="Times New Roman" w:cs="Times New Roman"/>
          <w:noProof/>
          <w:sz w:val="24"/>
          <w:szCs w:val="24"/>
        </w:rPr>
        <w:t>Corporate Purpose: Shareholder Primacy Versus the Alternative Ends Approach</w:t>
      </w:r>
      <w:r w:rsidRPr="00C716BC">
        <w:rPr>
          <w:rFonts w:ascii="Times New Roman" w:eastAsia="Calibri" w:hAnsi="Times New Roman" w:cs="Times New Roman"/>
          <w:noProof/>
          <w:sz w:val="24"/>
          <w:szCs w:val="24"/>
        </w:rPr>
        <w:t xml:space="preserve"> </w:t>
      </w:r>
      <w:r w:rsidRPr="00C716BC">
        <w:rPr>
          <w:rFonts w:ascii="Times New Roman" w:eastAsia="Calibri" w:hAnsi="Times New Roman" w:cs="Times New Roman"/>
          <w:noProof/>
          <w:webHidden/>
          <w:sz w:val="24"/>
          <w:szCs w:val="24"/>
        </w:rPr>
        <w:tab/>
      </w:r>
      <w:r w:rsidR="009C6E4A">
        <w:rPr>
          <w:rFonts w:ascii="Times New Roman" w:eastAsia="Calibri" w:hAnsi="Times New Roman" w:cs="Times New Roman"/>
          <w:noProof/>
          <w:webHidden/>
          <w:sz w:val="24"/>
          <w:szCs w:val="24"/>
        </w:rPr>
        <w:t>80</w:t>
      </w:r>
    </w:p>
    <w:p w14:paraId="310F60DF" w14:textId="0A66E55F" w:rsidR="00D370C8" w:rsidRPr="00C716BC" w:rsidRDefault="00D370C8" w:rsidP="00D370C8">
      <w:pPr>
        <w:tabs>
          <w:tab w:val="left" w:pos="880"/>
          <w:tab w:val="right" w:leader="dot" w:pos="9350"/>
        </w:tabs>
        <w:spacing w:after="100"/>
        <w:ind w:left="720" w:hanging="270"/>
        <w:rPr>
          <w:rFonts w:ascii="Times New Roman" w:eastAsia="Calibri" w:hAnsi="Times New Roman" w:cs="Times New Roman"/>
          <w:noProof/>
          <w:webHidden/>
          <w:sz w:val="24"/>
          <w:szCs w:val="24"/>
        </w:rPr>
      </w:pPr>
      <w:r>
        <w:rPr>
          <w:rFonts w:ascii="Times New Roman" w:eastAsia="Calibri" w:hAnsi="Times New Roman" w:cs="Times New Roman"/>
          <w:noProof/>
          <w:sz w:val="24"/>
          <w:szCs w:val="24"/>
        </w:rPr>
        <w:t>B</w:t>
      </w:r>
      <w:r w:rsidRPr="00C716BC">
        <w:rPr>
          <w:rFonts w:ascii="Times New Roman" w:eastAsia="Calibri" w:hAnsi="Times New Roman" w:cs="Times New Roman"/>
          <w:noProof/>
          <w:sz w:val="24"/>
          <w:szCs w:val="24"/>
        </w:rPr>
        <w:t>.</w:t>
      </w:r>
      <w:r>
        <w:rPr>
          <w:rFonts w:ascii="Times New Roman" w:eastAsia="Calibri" w:hAnsi="Times New Roman" w:cs="Times New Roman"/>
          <w:noProof/>
          <w:sz w:val="24"/>
          <w:szCs w:val="24"/>
        </w:rPr>
        <w:t xml:space="preserve"> The Likelihood of Organic Change Absent an Fundamental Alteration in Existing Corporate Governance Arrangements</w:t>
      </w:r>
      <w:r w:rsidRPr="00C716BC">
        <w:rPr>
          <w:rFonts w:ascii="Times New Roman" w:hAnsi="Times New Roman" w:cs="Times New Roman"/>
          <w:noProof/>
          <w:sz w:val="24"/>
          <w:szCs w:val="24"/>
        </w:rPr>
        <w:tab/>
      </w:r>
      <w:r w:rsidR="009C6E4A">
        <w:rPr>
          <w:rFonts w:ascii="Times New Roman" w:eastAsia="Calibri" w:hAnsi="Times New Roman" w:cs="Times New Roman"/>
          <w:noProof/>
          <w:webHidden/>
          <w:sz w:val="24"/>
          <w:szCs w:val="24"/>
        </w:rPr>
        <w:t>83</w:t>
      </w:r>
    </w:p>
    <w:p w14:paraId="3429F561" w14:textId="090B0FFA" w:rsidR="00D370C8" w:rsidRDefault="00D370C8" w:rsidP="00D370C8">
      <w:pPr>
        <w:tabs>
          <w:tab w:val="left" w:pos="880"/>
          <w:tab w:val="right" w:leader="dot" w:pos="9350"/>
        </w:tabs>
        <w:spacing w:after="100"/>
        <w:ind w:left="720" w:hanging="270"/>
        <w:rPr>
          <w:rFonts w:ascii="Times New Roman" w:eastAsia="Calibri" w:hAnsi="Times New Roman" w:cs="Times New Roman"/>
          <w:noProof/>
          <w:webHidden/>
          <w:sz w:val="24"/>
          <w:szCs w:val="24"/>
        </w:rPr>
      </w:pPr>
      <w:r>
        <w:rPr>
          <w:rFonts w:ascii="Times New Roman" w:eastAsia="Calibri" w:hAnsi="Times New Roman" w:cs="Times New Roman"/>
          <w:noProof/>
          <w:sz w:val="24"/>
          <w:szCs w:val="24"/>
        </w:rPr>
        <w:t>C. The Presence of Profit Sacrificing Shareholders is Not Sufficient to Provide Reliable Guides</w:t>
      </w:r>
      <w:r w:rsidRPr="00C716BC">
        <w:rPr>
          <w:rFonts w:ascii="Times New Roman" w:hAnsi="Times New Roman" w:cs="Times New Roman"/>
          <w:noProof/>
          <w:sz w:val="24"/>
          <w:szCs w:val="24"/>
        </w:rPr>
        <w:tab/>
      </w:r>
      <w:r w:rsidR="009C6E4A">
        <w:rPr>
          <w:rFonts w:ascii="Times New Roman" w:eastAsia="Calibri" w:hAnsi="Times New Roman" w:cs="Times New Roman"/>
          <w:noProof/>
          <w:webHidden/>
          <w:sz w:val="24"/>
          <w:szCs w:val="24"/>
        </w:rPr>
        <w:t>87</w:t>
      </w:r>
    </w:p>
    <w:p w14:paraId="420E2A67" w14:textId="51429834" w:rsidR="005B5BC3" w:rsidRPr="00C716BC" w:rsidRDefault="005B5BC3" w:rsidP="005B5BC3">
      <w:pPr>
        <w:tabs>
          <w:tab w:val="left" w:pos="880"/>
          <w:tab w:val="right" w:leader="dot" w:pos="9350"/>
        </w:tabs>
        <w:spacing w:after="100"/>
        <w:ind w:left="720" w:hanging="270"/>
        <w:rPr>
          <w:rFonts w:ascii="Times New Roman" w:eastAsia="Calibri" w:hAnsi="Times New Roman" w:cs="Times New Roman"/>
          <w:noProof/>
          <w:webHidden/>
          <w:sz w:val="24"/>
          <w:szCs w:val="24"/>
        </w:rPr>
      </w:pPr>
      <w:r>
        <w:rPr>
          <w:rFonts w:ascii="Times New Roman" w:eastAsia="Calibri" w:hAnsi="Times New Roman" w:cs="Times New Roman"/>
          <w:noProof/>
          <w:sz w:val="24"/>
          <w:szCs w:val="24"/>
        </w:rPr>
        <w:t>D</w:t>
      </w:r>
      <w:r w:rsidRPr="00C716BC">
        <w:rPr>
          <w:rFonts w:ascii="Times New Roman" w:eastAsia="Calibri" w:hAnsi="Times New Roman" w:cs="Times New Roman"/>
          <w:noProof/>
          <w:sz w:val="24"/>
          <w:szCs w:val="24"/>
        </w:rPr>
        <w:t>.</w:t>
      </w:r>
      <w:r w:rsidRPr="00C716BC">
        <w:rPr>
          <w:rFonts w:ascii="Times New Roman" w:hAnsi="Times New Roman" w:cs="Times New Roman"/>
          <w:noProof/>
          <w:sz w:val="24"/>
          <w:szCs w:val="24"/>
        </w:rPr>
        <w:tab/>
      </w:r>
      <w:r>
        <w:rPr>
          <w:rFonts w:ascii="Times New Roman" w:eastAsia="Calibri" w:hAnsi="Times New Roman" w:cs="Times New Roman"/>
          <w:noProof/>
          <w:sz w:val="24"/>
          <w:szCs w:val="24"/>
        </w:rPr>
        <w:t xml:space="preserve">What an Examination of the Role of Shareholder Preferences Cannot Add to the </w:t>
      </w:r>
      <w:r w:rsidR="009C6E4A">
        <w:rPr>
          <w:rFonts w:ascii="Times New Roman" w:eastAsia="Calibri" w:hAnsi="Times New Roman" w:cs="Times New Roman"/>
          <w:noProof/>
          <w:sz w:val="24"/>
          <w:szCs w:val="24"/>
        </w:rPr>
        <w:t>Corporate Purpose Debate</w:t>
      </w:r>
      <w:r w:rsidRPr="00C716BC">
        <w:rPr>
          <w:rFonts w:ascii="Times New Roman" w:eastAsia="Calibri" w:hAnsi="Times New Roman" w:cs="Times New Roman"/>
          <w:noProof/>
          <w:sz w:val="24"/>
          <w:szCs w:val="24"/>
        </w:rPr>
        <w:t xml:space="preserve"> </w:t>
      </w:r>
      <w:r w:rsidRPr="00C716BC">
        <w:rPr>
          <w:rFonts w:ascii="Times New Roman" w:eastAsia="Calibri" w:hAnsi="Times New Roman" w:cs="Times New Roman"/>
          <w:noProof/>
          <w:webHidden/>
          <w:sz w:val="24"/>
          <w:szCs w:val="24"/>
        </w:rPr>
        <w:tab/>
      </w:r>
      <w:r w:rsidR="009C6E4A">
        <w:rPr>
          <w:rFonts w:ascii="Times New Roman" w:eastAsia="Calibri" w:hAnsi="Times New Roman" w:cs="Times New Roman"/>
          <w:noProof/>
          <w:webHidden/>
          <w:sz w:val="24"/>
          <w:szCs w:val="24"/>
        </w:rPr>
        <w:t>89</w:t>
      </w:r>
    </w:p>
    <w:p w14:paraId="5647A9F2" w14:textId="203D5914" w:rsidR="00C716BC" w:rsidRDefault="00C716BC" w:rsidP="00C716BC">
      <w:pPr>
        <w:tabs>
          <w:tab w:val="left" w:pos="450"/>
          <w:tab w:val="right" w:leader="dot" w:pos="9350"/>
        </w:tabs>
        <w:spacing w:after="100"/>
        <w:ind w:left="450" w:hanging="450"/>
        <w:rPr>
          <w:rFonts w:ascii="Times New Roman" w:eastAsia="Calibri" w:hAnsi="Times New Roman" w:cs="Times New Roman"/>
          <w:noProof/>
          <w:webHidden/>
          <w:sz w:val="24"/>
          <w:szCs w:val="24"/>
        </w:rPr>
      </w:pPr>
      <w:r w:rsidRPr="00633938">
        <w:rPr>
          <w:rFonts w:ascii="Times New Roman" w:eastAsia="Calibri" w:hAnsi="Times New Roman" w:cs="Times New Roman"/>
          <w:noProof/>
          <w:sz w:val="24"/>
          <w:szCs w:val="24"/>
        </w:rPr>
        <w:t>V.</w:t>
      </w:r>
      <w:r w:rsidRPr="00633938">
        <w:rPr>
          <w:rFonts w:ascii="Times New Roman" w:hAnsi="Times New Roman" w:cs="Times New Roman"/>
          <w:noProof/>
          <w:sz w:val="24"/>
          <w:szCs w:val="24"/>
        </w:rPr>
        <w:tab/>
      </w:r>
      <w:r w:rsidRPr="00633938">
        <w:rPr>
          <w:rFonts w:ascii="Times New Roman" w:eastAsia="Calibri" w:hAnsi="Times New Roman" w:cs="Times New Roman"/>
          <w:noProof/>
          <w:sz w:val="24"/>
          <w:szCs w:val="24"/>
        </w:rPr>
        <w:t>Conclusion</w:t>
      </w:r>
      <w:r w:rsidRPr="00633938">
        <w:rPr>
          <w:rFonts w:ascii="Times New Roman" w:eastAsia="Calibri" w:hAnsi="Times New Roman" w:cs="Times New Roman"/>
          <w:noProof/>
          <w:webHidden/>
          <w:sz w:val="24"/>
          <w:szCs w:val="24"/>
        </w:rPr>
        <w:tab/>
      </w:r>
      <w:r w:rsidR="009C6E4A">
        <w:rPr>
          <w:rFonts w:ascii="Times New Roman" w:eastAsia="Calibri" w:hAnsi="Times New Roman" w:cs="Times New Roman"/>
          <w:noProof/>
          <w:webHidden/>
          <w:sz w:val="24"/>
          <w:szCs w:val="24"/>
        </w:rPr>
        <w:t>91</w:t>
      </w:r>
    </w:p>
    <w:p w14:paraId="164F7FD5" w14:textId="694CD035" w:rsidR="00C716BC" w:rsidRPr="00C716BC" w:rsidRDefault="00C716BC" w:rsidP="00C716BC">
      <w:pPr>
        <w:tabs>
          <w:tab w:val="left" w:pos="450"/>
          <w:tab w:val="right" w:leader="dot" w:pos="9350"/>
        </w:tabs>
        <w:spacing w:after="100"/>
        <w:ind w:left="450" w:hanging="450"/>
        <w:rPr>
          <w:rFonts w:ascii="Times New Roman" w:eastAsia="Calibri" w:hAnsi="Times New Roman" w:cs="Times New Roman"/>
          <w:noProof/>
          <w:webHidden/>
          <w:sz w:val="24"/>
          <w:szCs w:val="24"/>
        </w:rPr>
      </w:pPr>
      <w:r w:rsidRPr="00E0689B">
        <w:rPr>
          <w:rFonts w:ascii="Times New Roman" w:eastAsia="Calibri" w:hAnsi="Times New Roman" w:cs="Times New Roman"/>
          <w:noProof/>
          <w:sz w:val="24"/>
          <w:szCs w:val="24"/>
        </w:rPr>
        <w:t>Appendix</w:t>
      </w:r>
      <w:r w:rsidRPr="00E0689B">
        <w:rPr>
          <w:rFonts w:ascii="Times New Roman" w:eastAsia="Calibri" w:hAnsi="Times New Roman" w:cs="Times New Roman"/>
          <w:noProof/>
          <w:webHidden/>
          <w:sz w:val="24"/>
          <w:szCs w:val="24"/>
        </w:rPr>
        <w:tab/>
      </w:r>
      <w:r w:rsidR="009C6E4A">
        <w:rPr>
          <w:rFonts w:ascii="Times New Roman" w:eastAsia="Calibri" w:hAnsi="Times New Roman" w:cs="Times New Roman"/>
          <w:noProof/>
          <w:webHidden/>
          <w:sz w:val="24"/>
          <w:szCs w:val="24"/>
        </w:rPr>
        <w:t>96</w:t>
      </w:r>
    </w:p>
    <w:p w14:paraId="02E7DCD5" w14:textId="26E8DB01" w:rsidR="00975FEC" w:rsidRDefault="00975FEC">
      <w:pPr>
        <w:rPr>
          <w:rFonts w:ascii="Times New Roman" w:eastAsia="Calibri" w:hAnsi="Times New Roman" w:cs="Times New Roman"/>
          <w:noProof/>
          <w:webHidden/>
          <w:sz w:val="24"/>
          <w:szCs w:val="24"/>
        </w:rPr>
      </w:pPr>
      <w:r>
        <w:rPr>
          <w:rFonts w:ascii="Times New Roman" w:eastAsia="Calibri" w:hAnsi="Times New Roman" w:cs="Times New Roman"/>
          <w:noProof/>
          <w:webHidden/>
          <w:sz w:val="24"/>
          <w:szCs w:val="24"/>
        </w:rPr>
        <w:br w:type="page"/>
      </w:r>
    </w:p>
    <w:p w14:paraId="4E266B50" w14:textId="77777777" w:rsidR="00C716BC" w:rsidRPr="00C716BC" w:rsidRDefault="00C716BC" w:rsidP="00C716BC">
      <w:pPr>
        <w:tabs>
          <w:tab w:val="left" w:pos="880"/>
          <w:tab w:val="right" w:leader="dot" w:pos="9350"/>
        </w:tabs>
        <w:spacing w:after="100"/>
        <w:ind w:left="720" w:hanging="270"/>
        <w:rPr>
          <w:rFonts w:ascii="Times New Roman" w:eastAsia="Calibri" w:hAnsi="Times New Roman" w:cs="Times New Roman"/>
          <w:noProof/>
          <w:webHidden/>
          <w:sz w:val="24"/>
          <w:szCs w:val="24"/>
        </w:rPr>
      </w:pPr>
    </w:p>
    <w:p w14:paraId="0568907E" w14:textId="77777777" w:rsidR="009B682C" w:rsidRPr="005E3083" w:rsidRDefault="009B682C" w:rsidP="009B682C">
      <w:pPr>
        <w:spacing w:after="0" w:line="480" w:lineRule="auto"/>
        <w:jc w:val="center"/>
        <w:rPr>
          <w:rFonts w:ascii="Times New Roman" w:hAnsi="Times New Roman" w:cs="Times New Roman"/>
          <w:b/>
          <w:bCs/>
          <w:sz w:val="24"/>
          <w:szCs w:val="24"/>
        </w:rPr>
      </w:pPr>
      <w:r w:rsidRPr="005E3083">
        <w:rPr>
          <w:rFonts w:ascii="Times New Roman" w:hAnsi="Times New Roman" w:cs="Times New Roman"/>
          <w:b/>
          <w:bCs/>
          <w:sz w:val="24"/>
          <w:szCs w:val="24"/>
        </w:rPr>
        <w:t>Introduction</w:t>
      </w:r>
    </w:p>
    <w:p w14:paraId="04D11138" w14:textId="5F8DBD5E" w:rsidR="009924B3" w:rsidRDefault="009B682C" w:rsidP="009B682C">
      <w:pPr>
        <w:spacing w:after="0" w:line="480" w:lineRule="auto"/>
        <w:jc w:val="both"/>
        <w:rPr>
          <w:rFonts w:ascii="Times New Roman" w:hAnsi="Times New Roman" w:cs="Times New Roman"/>
          <w:sz w:val="24"/>
          <w:szCs w:val="24"/>
        </w:rPr>
      </w:pPr>
      <w:r w:rsidRPr="005E3083">
        <w:rPr>
          <w:rFonts w:ascii="Times New Roman" w:hAnsi="Times New Roman" w:cs="Times New Roman"/>
          <w:sz w:val="24"/>
          <w:szCs w:val="24"/>
        </w:rPr>
        <w:tab/>
        <w:t xml:space="preserve">For most of the last </w:t>
      </w:r>
      <w:r w:rsidR="00A961BE">
        <w:rPr>
          <w:rFonts w:ascii="Times New Roman" w:hAnsi="Times New Roman" w:cs="Times New Roman"/>
          <w:sz w:val="24"/>
          <w:szCs w:val="24"/>
        </w:rPr>
        <w:t>few decades</w:t>
      </w:r>
      <w:r w:rsidRPr="005E3083">
        <w:rPr>
          <w:rFonts w:ascii="Times New Roman" w:hAnsi="Times New Roman" w:cs="Times New Roman"/>
          <w:sz w:val="24"/>
          <w:szCs w:val="24"/>
        </w:rPr>
        <w:t>, the primary focus of academic literature concerning dispersed ownership publicly traded corporations has been on minimizing the agency costs</w:t>
      </w:r>
      <w:r>
        <w:rPr>
          <w:rFonts w:ascii="Times New Roman" w:hAnsi="Times New Roman" w:cs="Times New Roman"/>
          <w:sz w:val="24"/>
          <w:szCs w:val="24"/>
        </w:rPr>
        <w:t>, with the shareholders being the principal and the managers the agent.</w:t>
      </w:r>
      <w:r w:rsidR="00A961BE">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r w:rsidRPr="005E3083">
        <w:rPr>
          <w:rFonts w:ascii="Times New Roman" w:hAnsi="Times New Roman" w:cs="Times New Roman"/>
          <w:sz w:val="24"/>
          <w:szCs w:val="24"/>
        </w:rPr>
        <w:t>In this literature, a corporation’s shareholders</w:t>
      </w:r>
      <w:r>
        <w:rPr>
          <w:rFonts w:ascii="Times New Roman" w:hAnsi="Times New Roman" w:cs="Times New Roman"/>
          <w:sz w:val="24"/>
          <w:szCs w:val="24"/>
        </w:rPr>
        <w:t xml:space="preserve"> </w:t>
      </w:r>
      <w:r w:rsidRPr="005E3083">
        <w:rPr>
          <w:rFonts w:ascii="Times New Roman" w:hAnsi="Times New Roman" w:cs="Times New Roman"/>
          <w:sz w:val="24"/>
          <w:szCs w:val="24"/>
        </w:rPr>
        <w:t>were assumed</w:t>
      </w:r>
      <w:r w:rsidR="0095293B">
        <w:rPr>
          <w:rFonts w:ascii="Times New Roman" w:hAnsi="Times New Roman" w:cs="Times New Roman"/>
          <w:sz w:val="24"/>
          <w:szCs w:val="24"/>
        </w:rPr>
        <w:t>,</w:t>
      </w:r>
      <w:r w:rsidR="00CE23B6">
        <w:rPr>
          <w:rFonts w:ascii="Times New Roman" w:hAnsi="Times New Roman" w:cs="Times New Roman"/>
          <w:sz w:val="24"/>
          <w:szCs w:val="24"/>
        </w:rPr>
        <w:t xml:space="preserve"> either explicitly or implicitly</w:t>
      </w:r>
      <w:r w:rsidR="0095293B">
        <w:rPr>
          <w:rFonts w:ascii="Times New Roman" w:hAnsi="Times New Roman" w:cs="Times New Roman"/>
          <w:sz w:val="24"/>
          <w:szCs w:val="24"/>
        </w:rPr>
        <w:t>,</w:t>
      </w:r>
      <w:r w:rsidRPr="005E3083">
        <w:rPr>
          <w:rFonts w:ascii="Times New Roman" w:hAnsi="Times New Roman" w:cs="Times New Roman"/>
          <w:sz w:val="24"/>
          <w:szCs w:val="24"/>
        </w:rPr>
        <w:t xml:space="preserve"> to all agree that they wanted it to behave in a way that maximizes the value of the corporation’s shares.</w:t>
      </w:r>
      <w:bookmarkStart w:id="0" w:name="_Ref178628593"/>
      <w:r>
        <w:rPr>
          <w:rStyle w:val="FootnoteReference"/>
          <w:rFonts w:ascii="Times New Roman" w:hAnsi="Times New Roman" w:cs="Times New Roman"/>
          <w:sz w:val="24"/>
          <w:szCs w:val="24"/>
        </w:rPr>
        <w:footnoteReference w:id="4"/>
      </w:r>
      <w:bookmarkEnd w:id="0"/>
      <w:r w:rsidRPr="005E3083">
        <w:rPr>
          <w:rFonts w:ascii="Times New Roman" w:hAnsi="Times New Roman" w:cs="Times New Roman"/>
          <w:sz w:val="24"/>
          <w:szCs w:val="24"/>
        </w:rPr>
        <w:t xml:space="preserve">  In recent years, however, </w:t>
      </w:r>
      <w:r>
        <w:rPr>
          <w:rFonts w:ascii="Times New Roman" w:hAnsi="Times New Roman" w:cs="Times New Roman"/>
          <w:sz w:val="24"/>
          <w:szCs w:val="24"/>
        </w:rPr>
        <w:t xml:space="preserve">it has </w:t>
      </w:r>
      <w:r w:rsidRPr="005E3083">
        <w:rPr>
          <w:rFonts w:ascii="Times New Roman" w:hAnsi="Times New Roman" w:cs="Times New Roman"/>
          <w:sz w:val="24"/>
          <w:szCs w:val="24"/>
        </w:rPr>
        <w:t xml:space="preserve">become increasingly </w:t>
      </w:r>
      <w:r>
        <w:rPr>
          <w:rFonts w:ascii="Times New Roman" w:hAnsi="Times New Roman" w:cs="Times New Roman"/>
          <w:sz w:val="24"/>
          <w:szCs w:val="24"/>
        </w:rPr>
        <w:t>clear</w:t>
      </w:r>
      <w:r w:rsidRPr="005E3083">
        <w:rPr>
          <w:rFonts w:ascii="Times New Roman" w:hAnsi="Times New Roman" w:cs="Times New Roman"/>
          <w:sz w:val="24"/>
          <w:szCs w:val="24"/>
        </w:rPr>
        <w:t xml:space="preserve"> that </w:t>
      </w:r>
      <w:r>
        <w:rPr>
          <w:rFonts w:ascii="Times New Roman" w:hAnsi="Times New Roman" w:cs="Times New Roman"/>
          <w:sz w:val="24"/>
          <w:szCs w:val="24"/>
        </w:rPr>
        <w:t xml:space="preserve">the </w:t>
      </w:r>
      <w:r w:rsidRPr="005E3083">
        <w:rPr>
          <w:rFonts w:ascii="Times New Roman" w:hAnsi="Times New Roman" w:cs="Times New Roman"/>
          <w:sz w:val="24"/>
          <w:szCs w:val="24"/>
        </w:rPr>
        <w:t>individuals who make equity investments in such corporations, whether directly or through investment funds, are in fact not uniform in their preferences</w:t>
      </w:r>
      <w:r w:rsidR="00796064">
        <w:rPr>
          <w:rFonts w:ascii="Times New Roman" w:hAnsi="Times New Roman" w:cs="Times New Roman"/>
          <w:sz w:val="24"/>
          <w:szCs w:val="24"/>
        </w:rPr>
        <w:t xml:space="preserve">. </w:t>
      </w:r>
    </w:p>
    <w:p w14:paraId="12F27E53" w14:textId="6BDAB845" w:rsidR="006C5A06" w:rsidRDefault="009924B3" w:rsidP="009B682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9B682C" w:rsidRPr="005E3083">
        <w:rPr>
          <w:rFonts w:ascii="Times New Roman" w:hAnsi="Times New Roman" w:cs="Times New Roman"/>
          <w:sz w:val="24"/>
          <w:szCs w:val="24"/>
        </w:rPr>
        <w:t xml:space="preserve">This </w:t>
      </w:r>
      <w:r w:rsidR="00C11CCE">
        <w:rPr>
          <w:rFonts w:ascii="Times New Roman" w:hAnsi="Times New Roman" w:cs="Times New Roman"/>
          <w:sz w:val="24"/>
          <w:szCs w:val="24"/>
        </w:rPr>
        <w:t>article</w:t>
      </w:r>
      <w:r w:rsidR="009B682C" w:rsidRPr="005E3083">
        <w:rPr>
          <w:rFonts w:ascii="Times New Roman" w:hAnsi="Times New Roman" w:cs="Times New Roman"/>
          <w:sz w:val="24"/>
          <w:szCs w:val="24"/>
        </w:rPr>
        <w:t xml:space="preserve"> seeks to step back and, appealing to first principles, provide some understudied analytic precision to </w:t>
      </w:r>
      <w:r w:rsidR="006C5A06">
        <w:rPr>
          <w:rFonts w:ascii="Times New Roman" w:hAnsi="Times New Roman" w:cs="Times New Roman"/>
          <w:sz w:val="24"/>
          <w:szCs w:val="24"/>
        </w:rPr>
        <w:t xml:space="preserve">two basic </w:t>
      </w:r>
      <w:r w:rsidR="009B682C" w:rsidRPr="005E3083">
        <w:rPr>
          <w:rFonts w:ascii="Times New Roman" w:hAnsi="Times New Roman" w:cs="Times New Roman"/>
          <w:sz w:val="24"/>
          <w:szCs w:val="24"/>
        </w:rPr>
        <w:t>question</w:t>
      </w:r>
      <w:r w:rsidR="00946CD4">
        <w:rPr>
          <w:rFonts w:ascii="Times New Roman" w:hAnsi="Times New Roman" w:cs="Times New Roman"/>
          <w:sz w:val="24"/>
          <w:szCs w:val="24"/>
        </w:rPr>
        <w:t>s</w:t>
      </w:r>
      <w:r w:rsidR="006C5A06">
        <w:rPr>
          <w:rFonts w:ascii="Times New Roman" w:hAnsi="Times New Roman" w:cs="Times New Roman"/>
          <w:sz w:val="24"/>
          <w:szCs w:val="24"/>
        </w:rPr>
        <w:t>:</w:t>
      </w:r>
      <w:r w:rsidR="009B682C" w:rsidRPr="005E3083">
        <w:rPr>
          <w:rFonts w:ascii="Times New Roman" w:hAnsi="Times New Roman" w:cs="Times New Roman"/>
          <w:sz w:val="24"/>
          <w:szCs w:val="24"/>
        </w:rPr>
        <w:t xml:space="preserve"> </w:t>
      </w:r>
      <w:r w:rsidR="006C5A06">
        <w:rPr>
          <w:rFonts w:ascii="Times New Roman" w:hAnsi="Times New Roman" w:cs="Times New Roman"/>
          <w:sz w:val="24"/>
          <w:szCs w:val="24"/>
        </w:rPr>
        <w:t xml:space="preserve">(1) </w:t>
      </w:r>
      <w:r w:rsidR="009B682C" w:rsidRPr="005E3083">
        <w:rPr>
          <w:rFonts w:ascii="Times New Roman" w:hAnsi="Times New Roman" w:cs="Times New Roman"/>
          <w:sz w:val="24"/>
          <w:szCs w:val="24"/>
        </w:rPr>
        <w:t xml:space="preserve">how, if at all, these preference differences among </w:t>
      </w:r>
      <w:r w:rsidR="003A47C8">
        <w:rPr>
          <w:rFonts w:ascii="Times New Roman" w:hAnsi="Times New Roman" w:cs="Times New Roman"/>
          <w:sz w:val="24"/>
          <w:szCs w:val="24"/>
        </w:rPr>
        <w:t xml:space="preserve">the economy’s </w:t>
      </w:r>
      <w:r w:rsidR="009B682C">
        <w:rPr>
          <w:rFonts w:ascii="Times New Roman" w:hAnsi="Times New Roman" w:cs="Times New Roman"/>
          <w:sz w:val="24"/>
          <w:szCs w:val="24"/>
        </w:rPr>
        <w:t>equity investors</w:t>
      </w:r>
      <w:r w:rsidR="009B682C" w:rsidRPr="005E3083">
        <w:rPr>
          <w:rFonts w:ascii="Times New Roman" w:hAnsi="Times New Roman" w:cs="Times New Roman"/>
          <w:sz w:val="24"/>
          <w:szCs w:val="24"/>
        </w:rPr>
        <w:t xml:space="preserve"> are likely to affect corporate behavior</w:t>
      </w:r>
      <w:r w:rsidR="009B682C">
        <w:rPr>
          <w:rFonts w:ascii="Times New Roman" w:hAnsi="Times New Roman" w:cs="Times New Roman"/>
          <w:sz w:val="24"/>
          <w:szCs w:val="24"/>
        </w:rPr>
        <w:t xml:space="preserve">, and </w:t>
      </w:r>
      <w:r w:rsidR="006C5A06">
        <w:rPr>
          <w:rFonts w:ascii="Times New Roman" w:hAnsi="Times New Roman" w:cs="Times New Roman"/>
          <w:sz w:val="24"/>
          <w:szCs w:val="24"/>
        </w:rPr>
        <w:t xml:space="preserve">(2) </w:t>
      </w:r>
      <w:r w:rsidR="009B682C">
        <w:rPr>
          <w:rFonts w:ascii="Times New Roman" w:hAnsi="Times New Roman" w:cs="Times New Roman"/>
          <w:sz w:val="24"/>
          <w:szCs w:val="24"/>
        </w:rPr>
        <w:t xml:space="preserve">whether the recognition that these differences exist necessitates changes in corporate and securities law as some commentators suggest. </w:t>
      </w:r>
      <w:r>
        <w:rPr>
          <w:rFonts w:ascii="Times New Roman" w:hAnsi="Times New Roman" w:cs="Times New Roman"/>
          <w:sz w:val="24"/>
          <w:szCs w:val="24"/>
        </w:rPr>
        <w:t xml:space="preserve">This paper seeks to answer these two basic questions with regard to equity investors in what </w:t>
      </w:r>
      <w:r w:rsidR="00C50FC8">
        <w:rPr>
          <w:rFonts w:ascii="Times New Roman" w:hAnsi="Times New Roman" w:cs="Times New Roman"/>
          <w:sz w:val="24"/>
          <w:szCs w:val="24"/>
        </w:rPr>
        <w:t xml:space="preserve">is </w:t>
      </w:r>
      <w:r>
        <w:rPr>
          <w:rFonts w:ascii="Times New Roman" w:hAnsi="Times New Roman" w:cs="Times New Roman"/>
          <w:sz w:val="24"/>
          <w:szCs w:val="24"/>
        </w:rPr>
        <w:t xml:space="preserve">the </w:t>
      </w:r>
      <w:r w:rsidRPr="005E3083">
        <w:rPr>
          <w:rFonts w:ascii="Times New Roman" w:hAnsi="Times New Roman" w:cs="Times New Roman"/>
          <w:sz w:val="24"/>
          <w:szCs w:val="24"/>
        </w:rPr>
        <w:t xml:space="preserve">dominant kind of productive enterprise in the United States: the dispersed ownership publicly traded for-profit corporation with </w:t>
      </w:r>
      <w:r>
        <w:rPr>
          <w:rFonts w:ascii="Times New Roman" w:hAnsi="Times New Roman" w:cs="Times New Roman"/>
          <w:sz w:val="24"/>
          <w:szCs w:val="24"/>
        </w:rPr>
        <w:t>shareholders</w:t>
      </w:r>
      <w:r w:rsidRPr="005E3083">
        <w:rPr>
          <w:rFonts w:ascii="Times New Roman" w:hAnsi="Times New Roman" w:cs="Times New Roman"/>
          <w:sz w:val="24"/>
          <w:szCs w:val="24"/>
        </w:rPr>
        <w:t xml:space="preserve"> as its residual claimant.</w:t>
      </w:r>
      <w:bookmarkStart w:id="1" w:name="_Ref180746738"/>
      <w:r w:rsidRPr="005E3083">
        <w:rPr>
          <w:rStyle w:val="FootnoteReference"/>
          <w:rFonts w:ascii="Times New Roman" w:hAnsi="Times New Roman" w:cs="Times New Roman"/>
          <w:sz w:val="24"/>
          <w:szCs w:val="24"/>
        </w:rPr>
        <w:footnoteReference w:id="5"/>
      </w:r>
      <w:bookmarkEnd w:id="1"/>
      <w:r w:rsidRPr="006C5A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1C9D">
        <w:rPr>
          <w:rFonts w:ascii="Times New Roman" w:hAnsi="Times New Roman" w:cs="Times New Roman"/>
          <w:sz w:val="24"/>
          <w:szCs w:val="24"/>
        </w:rPr>
        <w:lastRenderedPageBreak/>
        <w:t>Although the answers we derive may not be directly applicable to dispersed ownership firms abroad, the paper can serve as a template for a study of them as well.</w:t>
      </w:r>
      <w:r w:rsidRPr="00E41C9D">
        <w:rPr>
          <w:rStyle w:val="FootnoteReference"/>
          <w:rFonts w:ascii="Times New Roman" w:hAnsi="Times New Roman" w:cs="Times New Roman"/>
          <w:sz w:val="24"/>
          <w:szCs w:val="24"/>
        </w:rPr>
        <w:footnoteReference w:id="6"/>
      </w:r>
      <w:r w:rsidRPr="00E41C9D">
        <w:rPr>
          <w:rFonts w:ascii="Times New Roman" w:hAnsi="Times New Roman" w:cs="Times New Roman"/>
          <w:sz w:val="24"/>
          <w:szCs w:val="24"/>
        </w:rPr>
        <w:t xml:space="preserve">  </w:t>
      </w:r>
      <w:r w:rsidR="009B682C" w:rsidRPr="00E41C9D">
        <w:rPr>
          <w:rFonts w:ascii="Times New Roman" w:hAnsi="Times New Roman" w:cs="Times New Roman"/>
          <w:sz w:val="24"/>
          <w:szCs w:val="24"/>
        </w:rPr>
        <w:t>To date</w:t>
      </w:r>
      <w:r w:rsidR="009B682C">
        <w:rPr>
          <w:rFonts w:ascii="Times New Roman" w:hAnsi="Times New Roman" w:cs="Times New Roman"/>
          <w:sz w:val="24"/>
          <w:szCs w:val="24"/>
        </w:rPr>
        <w:t xml:space="preserve">, </w:t>
      </w:r>
      <w:r w:rsidR="0095293B">
        <w:rPr>
          <w:rFonts w:ascii="Times New Roman" w:hAnsi="Times New Roman" w:cs="Times New Roman"/>
          <w:sz w:val="24"/>
          <w:szCs w:val="24"/>
        </w:rPr>
        <w:t xml:space="preserve">little in </w:t>
      </w:r>
      <w:r w:rsidR="009B682C">
        <w:rPr>
          <w:rFonts w:ascii="Times New Roman" w:hAnsi="Times New Roman" w:cs="Times New Roman"/>
          <w:sz w:val="24"/>
          <w:szCs w:val="24"/>
        </w:rPr>
        <w:t xml:space="preserve">the academic literature has seriously analyzed the implications </w:t>
      </w:r>
      <w:r w:rsidR="0055666C">
        <w:rPr>
          <w:rFonts w:ascii="Times New Roman" w:hAnsi="Times New Roman" w:cs="Times New Roman"/>
          <w:sz w:val="24"/>
          <w:szCs w:val="24"/>
        </w:rPr>
        <w:t>for</w:t>
      </w:r>
      <w:r w:rsidR="009B682C">
        <w:rPr>
          <w:rFonts w:ascii="Times New Roman" w:hAnsi="Times New Roman" w:cs="Times New Roman"/>
          <w:sz w:val="24"/>
          <w:szCs w:val="24"/>
        </w:rPr>
        <w:t xml:space="preserve"> corporate behavior </w:t>
      </w:r>
      <w:r w:rsidR="0055666C">
        <w:rPr>
          <w:rFonts w:ascii="Times New Roman" w:hAnsi="Times New Roman" w:cs="Times New Roman"/>
          <w:sz w:val="24"/>
          <w:szCs w:val="24"/>
        </w:rPr>
        <w:t xml:space="preserve">where </w:t>
      </w:r>
      <w:r w:rsidR="00733843">
        <w:rPr>
          <w:rFonts w:ascii="Times New Roman" w:hAnsi="Times New Roman" w:cs="Times New Roman"/>
          <w:sz w:val="24"/>
          <w:szCs w:val="24"/>
        </w:rPr>
        <w:t>some</w:t>
      </w:r>
      <w:r w:rsidR="009B682C">
        <w:rPr>
          <w:rFonts w:ascii="Times New Roman" w:hAnsi="Times New Roman" w:cs="Times New Roman"/>
          <w:sz w:val="24"/>
          <w:szCs w:val="24"/>
        </w:rPr>
        <w:t xml:space="preserve"> of the economy’s equity investors </w:t>
      </w:r>
      <w:r>
        <w:rPr>
          <w:rFonts w:ascii="Times New Roman" w:hAnsi="Times New Roman" w:cs="Times New Roman"/>
          <w:sz w:val="24"/>
          <w:szCs w:val="24"/>
        </w:rPr>
        <w:t xml:space="preserve">in dispersed ownership firms </w:t>
      </w:r>
      <w:r w:rsidR="00733843">
        <w:rPr>
          <w:rFonts w:ascii="Times New Roman" w:hAnsi="Times New Roman" w:cs="Times New Roman"/>
          <w:sz w:val="24"/>
          <w:szCs w:val="24"/>
        </w:rPr>
        <w:t>want</w:t>
      </w:r>
      <w:r w:rsidR="00390249">
        <w:rPr>
          <w:rFonts w:ascii="Times New Roman" w:hAnsi="Times New Roman" w:cs="Times New Roman"/>
          <w:sz w:val="24"/>
          <w:szCs w:val="24"/>
        </w:rPr>
        <w:t xml:space="preserve"> firms to</w:t>
      </w:r>
      <w:r w:rsidR="00733843">
        <w:rPr>
          <w:rFonts w:ascii="Times New Roman" w:hAnsi="Times New Roman" w:cs="Times New Roman"/>
          <w:sz w:val="24"/>
          <w:szCs w:val="24"/>
        </w:rPr>
        <w:t xml:space="preserve"> do something other than maximize </w:t>
      </w:r>
      <w:r w:rsidR="009B682C">
        <w:rPr>
          <w:rFonts w:ascii="Times New Roman" w:hAnsi="Times New Roman" w:cs="Times New Roman"/>
          <w:sz w:val="24"/>
          <w:szCs w:val="24"/>
        </w:rPr>
        <w:t>share value</w:t>
      </w:r>
      <w:r w:rsidR="0055666C">
        <w:rPr>
          <w:rFonts w:ascii="Times New Roman" w:hAnsi="Times New Roman" w:cs="Times New Roman"/>
          <w:sz w:val="24"/>
          <w:szCs w:val="24"/>
        </w:rPr>
        <w:t>.</w:t>
      </w:r>
      <w:bookmarkStart w:id="2" w:name="_Ref178621612"/>
      <w:r w:rsidR="0055666C" w:rsidRPr="0055666C">
        <w:rPr>
          <w:rStyle w:val="FootnoteReference"/>
          <w:rFonts w:ascii="Times New Roman" w:hAnsi="Times New Roman" w:cs="Times New Roman"/>
          <w:sz w:val="24"/>
          <w:szCs w:val="24"/>
        </w:rPr>
        <w:t xml:space="preserve"> </w:t>
      </w:r>
      <w:r w:rsidR="0055666C" w:rsidRPr="005E3083">
        <w:rPr>
          <w:rStyle w:val="FootnoteReference"/>
          <w:rFonts w:ascii="Times New Roman" w:hAnsi="Times New Roman" w:cs="Times New Roman"/>
          <w:sz w:val="24"/>
          <w:szCs w:val="24"/>
        </w:rPr>
        <w:footnoteReference w:id="7"/>
      </w:r>
      <w:bookmarkEnd w:id="2"/>
      <w:r w:rsidR="0055666C" w:rsidRPr="005E3083">
        <w:rPr>
          <w:rFonts w:ascii="Times New Roman" w:hAnsi="Times New Roman" w:cs="Times New Roman"/>
          <w:sz w:val="24"/>
          <w:szCs w:val="24"/>
        </w:rPr>
        <w:t xml:space="preserve"> </w:t>
      </w:r>
      <w:r w:rsidR="009B682C">
        <w:rPr>
          <w:rFonts w:ascii="Times New Roman" w:hAnsi="Times New Roman" w:cs="Times New Roman"/>
          <w:sz w:val="24"/>
          <w:szCs w:val="24"/>
        </w:rPr>
        <w:t xml:space="preserve"> </w:t>
      </w:r>
      <w:r w:rsidR="0055666C">
        <w:rPr>
          <w:rFonts w:ascii="Times New Roman" w:hAnsi="Times New Roman" w:cs="Times New Roman"/>
          <w:sz w:val="24"/>
          <w:szCs w:val="24"/>
        </w:rPr>
        <w:t xml:space="preserve">This is a real gap given that such investors clearly exist in substantial </w:t>
      </w:r>
      <w:r w:rsidR="0055666C">
        <w:rPr>
          <w:rFonts w:ascii="Times New Roman" w:hAnsi="Times New Roman" w:cs="Times New Roman"/>
          <w:sz w:val="24"/>
          <w:szCs w:val="24"/>
        </w:rPr>
        <w:lastRenderedPageBreak/>
        <w:t>numbers and question</w:t>
      </w:r>
      <w:r w:rsidR="00946CD4">
        <w:rPr>
          <w:rFonts w:ascii="Times New Roman" w:hAnsi="Times New Roman" w:cs="Times New Roman"/>
          <w:sz w:val="24"/>
          <w:szCs w:val="24"/>
        </w:rPr>
        <w:t xml:space="preserve">s relating to </w:t>
      </w:r>
      <w:r w:rsidR="0055666C">
        <w:rPr>
          <w:rFonts w:ascii="Times New Roman" w:hAnsi="Times New Roman" w:cs="Times New Roman"/>
          <w:sz w:val="24"/>
          <w:szCs w:val="24"/>
        </w:rPr>
        <w:t>their impact ha</w:t>
      </w:r>
      <w:r w:rsidR="00946CD4">
        <w:rPr>
          <w:rFonts w:ascii="Times New Roman" w:hAnsi="Times New Roman" w:cs="Times New Roman"/>
          <w:sz w:val="24"/>
          <w:szCs w:val="24"/>
        </w:rPr>
        <w:t>ve</w:t>
      </w:r>
      <w:r w:rsidR="0055666C">
        <w:rPr>
          <w:rFonts w:ascii="Times New Roman" w:hAnsi="Times New Roman" w:cs="Times New Roman"/>
          <w:sz w:val="24"/>
          <w:szCs w:val="24"/>
        </w:rPr>
        <w:t xml:space="preserve"> </w:t>
      </w:r>
      <w:r w:rsidR="009B682C">
        <w:rPr>
          <w:rFonts w:ascii="Times New Roman" w:hAnsi="Times New Roman" w:cs="Times New Roman"/>
          <w:sz w:val="24"/>
          <w:szCs w:val="24"/>
        </w:rPr>
        <w:t>significant relevance to myriad ongoing debates in corporate law scholarship.</w:t>
      </w:r>
      <w:r w:rsidR="00946CD4">
        <w:rPr>
          <w:rFonts w:ascii="Times New Roman" w:hAnsi="Times New Roman" w:cs="Times New Roman"/>
          <w:sz w:val="24"/>
          <w:szCs w:val="24"/>
        </w:rPr>
        <w:t xml:space="preserve">  </w:t>
      </w:r>
    </w:p>
    <w:p w14:paraId="093E8118" w14:textId="1A78112F" w:rsidR="009B682C" w:rsidRPr="005E3083" w:rsidRDefault="006C5A06" w:rsidP="009B682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5E3083">
        <w:rPr>
          <w:rFonts w:ascii="Times New Roman" w:hAnsi="Times New Roman" w:cs="Times New Roman"/>
          <w:sz w:val="24"/>
          <w:szCs w:val="24"/>
        </w:rPr>
        <w:t>Throughout</w:t>
      </w:r>
      <w:r>
        <w:rPr>
          <w:rFonts w:ascii="Times New Roman" w:hAnsi="Times New Roman" w:cs="Times New Roman"/>
          <w:sz w:val="24"/>
          <w:szCs w:val="24"/>
        </w:rPr>
        <w:t xml:space="preserve">, </w:t>
      </w:r>
      <w:r w:rsidRPr="005E3083">
        <w:rPr>
          <w:rFonts w:ascii="Times New Roman" w:hAnsi="Times New Roman" w:cs="Times New Roman"/>
          <w:sz w:val="24"/>
          <w:szCs w:val="24"/>
        </w:rPr>
        <w:t>when we refer to an equity investor in a</w:t>
      </w:r>
      <w:r>
        <w:rPr>
          <w:rFonts w:ascii="Times New Roman" w:hAnsi="Times New Roman" w:cs="Times New Roman"/>
          <w:sz w:val="24"/>
          <w:szCs w:val="24"/>
        </w:rPr>
        <w:t>ny such</w:t>
      </w:r>
      <w:r w:rsidRPr="005E3083">
        <w:rPr>
          <w:rFonts w:ascii="Times New Roman" w:hAnsi="Times New Roman" w:cs="Times New Roman"/>
          <w:sz w:val="24"/>
          <w:szCs w:val="24"/>
        </w:rPr>
        <w:t xml:space="preserve"> corporation, we include both any person who holds the shares of the corporation directly and any</w:t>
      </w:r>
      <w:r>
        <w:rPr>
          <w:rFonts w:ascii="Times New Roman" w:hAnsi="Times New Roman" w:cs="Times New Roman"/>
          <w:sz w:val="24"/>
          <w:szCs w:val="24"/>
        </w:rPr>
        <w:t xml:space="preserve"> person </w:t>
      </w:r>
      <w:r w:rsidRPr="005E3083">
        <w:rPr>
          <w:rFonts w:ascii="Times New Roman" w:hAnsi="Times New Roman" w:cs="Times New Roman"/>
          <w:sz w:val="24"/>
          <w:szCs w:val="24"/>
        </w:rPr>
        <w:t>who has a</w:t>
      </w:r>
      <w:r>
        <w:rPr>
          <w:rFonts w:ascii="Times New Roman" w:hAnsi="Times New Roman" w:cs="Times New Roman"/>
          <w:sz w:val="24"/>
          <w:szCs w:val="24"/>
        </w:rPr>
        <w:t>n</w:t>
      </w:r>
      <w:r w:rsidRPr="005E3083">
        <w:rPr>
          <w:rFonts w:ascii="Times New Roman" w:hAnsi="Times New Roman" w:cs="Times New Roman"/>
          <w:sz w:val="24"/>
          <w:szCs w:val="24"/>
        </w:rPr>
        <w:t xml:space="preserve"> equity interest in it </w:t>
      </w:r>
      <w:r>
        <w:rPr>
          <w:rFonts w:ascii="Times New Roman" w:hAnsi="Times New Roman" w:cs="Times New Roman"/>
          <w:sz w:val="24"/>
          <w:szCs w:val="24"/>
        </w:rPr>
        <w:t xml:space="preserve">derivatively </w:t>
      </w:r>
      <w:r w:rsidRPr="005E3083">
        <w:rPr>
          <w:rFonts w:ascii="Times New Roman" w:hAnsi="Times New Roman" w:cs="Times New Roman"/>
          <w:sz w:val="24"/>
          <w:szCs w:val="24"/>
        </w:rPr>
        <w:t>through investment in a</w:t>
      </w:r>
      <w:r>
        <w:rPr>
          <w:rFonts w:ascii="Times New Roman" w:hAnsi="Times New Roman" w:cs="Times New Roman"/>
          <w:sz w:val="24"/>
          <w:szCs w:val="24"/>
        </w:rPr>
        <w:t xml:space="preserve"> </w:t>
      </w:r>
      <w:r w:rsidRPr="005E3083">
        <w:rPr>
          <w:rFonts w:ascii="Times New Roman" w:hAnsi="Times New Roman" w:cs="Times New Roman"/>
          <w:sz w:val="24"/>
          <w:szCs w:val="24"/>
        </w:rPr>
        <w:t>fund that holds the firm’s shares.</w:t>
      </w:r>
      <w:r w:rsidRPr="005E3083">
        <w:rPr>
          <w:rStyle w:val="FootnoteReference"/>
          <w:rFonts w:ascii="Times New Roman" w:hAnsi="Times New Roman" w:cs="Times New Roman"/>
          <w:sz w:val="24"/>
          <w:szCs w:val="24"/>
        </w:rPr>
        <w:footnoteReference w:id="8"/>
      </w:r>
      <w:r w:rsidR="0092329A">
        <w:rPr>
          <w:rFonts w:ascii="Times New Roman" w:hAnsi="Times New Roman" w:cs="Times New Roman"/>
          <w:sz w:val="24"/>
          <w:szCs w:val="24"/>
        </w:rPr>
        <w:t xml:space="preserve">  </w:t>
      </w:r>
    </w:p>
    <w:p w14:paraId="03AEDCC9" w14:textId="6E027071" w:rsidR="009B682C" w:rsidRDefault="009B682C" w:rsidP="009B682C">
      <w:pPr>
        <w:spacing w:after="0" w:line="480" w:lineRule="auto"/>
        <w:jc w:val="both"/>
        <w:rPr>
          <w:rFonts w:ascii="Times New Roman" w:hAnsi="Times New Roman" w:cs="Times New Roman"/>
          <w:sz w:val="24"/>
          <w:szCs w:val="24"/>
        </w:rPr>
      </w:pPr>
      <w:r w:rsidRPr="005E3083">
        <w:rPr>
          <w:rFonts w:ascii="Times New Roman" w:hAnsi="Times New Roman" w:cs="Times New Roman"/>
          <w:sz w:val="24"/>
          <w:szCs w:val="24"/>
        </w:rPr>
        <w:tab/>
        <w:t xml:space="preserve">Differences among </w:t>
      </w:r>
      <w:r>
        <w:rPr>
          <w:rFonts w:ascii="Times New Roman" w:hAnsi="Times New Roman" w:cs="Times New Roman"/>
          <w:sz w:val="24"/>
          <w:szCs w:val="24"/>
        </w:rPr>
        <w:t xml:space="preserve">equity </w:t>
      </w:r>
      <w:r w:rsidRPr="005E3083">
        <w:rPr>
          <w:rFonts w:ascii="Times New Roman" w:hAnsi="Times New Roman" w:cs="Times New Roman"/>
          <w:sz w:val="24"/>
          <w:szCs w:val="24"/>
        </w:rPr>
        <w:t>investors in their preferences concerning how any given</w:t>
      </w:r>
      <w:r>
        <w:rPr>
          <w:rFonts w:ascii="Times New Roman" w:hAnsi="Times New Roman" w:cs="Times New Roman"/>
          <w:sz w:val="24"/>
          <w:szCs w:val="24"/>
        </w:rPr>
        <w:t xml:space="preserve"> </w:t>
      </w:r>
      <w:r w:rsidRPr="005E3083">
        <w:rPr>
          <w:rFonts w:ascii="Times New Roman" w:hAnsi="Times New Roman" w:cs="Times New Roman"/>
          <w:sz w:val="24"/>
          <w:szCs w:val="24"/>
        </w:rPr>
        <w:t xml:space="preserve">corporation should behave have become obvious in many areas. Environmental and </w:t>
      </w:r>
      <w:r>
        <w:rPr>
          <w:rFonts w:ascii="Times New Roman" w:hAnsi="Times New Roman" w:cs="Times New Roman"/>
          <w:sz w:val="24"/>
          <w:szCs w:val="24"/>
        </w:rPr>
        <w:t xml:space="preserve">other </w:t>
      </w:r>
      <w:r w:rsidRPr="005E3083">
        <w:rPr>
          <w:rFonts w:ascii="Times New Roman" w:hAnsi="Times New Roman" w:cs="Times New Roman"/>
          <w:sz w:val="24"/>
          <w:szCs w:val="24"/>
        </w:rPr>
        <w:t>social concerns have, for example, led some of these investors to prefer that firms behave in ways that deviate from share value maximization</w:t>
      </w:r>
      <w:r>
        <w:rPr>
          <w:rFonts w:ascii="Times New Roman" w:hAnsi="Times New Roman" w:cs="Times New Roman"/>
          <w:sz w:val="24"/>
          <w:szCs w:val="24"/>
        </w:rPr>
        <w:t xml:space="preserve"> in furtherance of some such social aim</w:t>
      </w:r>
      <w:r w:rsidRPr="005E3083">
        <w:rPr>
          <w:rFonts w:ascii="Times New Roman" w:hAnsi="Times New Roman" w:cs="Times New Roman"/>
          <w:sz w:val="24"/>
          <w:szCs w:val="24"/>
        </w:rPr>
        <w:t xml:space="preserve">, while other investors prefer that they still adhere to that traditional goal. </w:t>
      </w:r>
      <w:r w:rsidR="00880881">
        <w:rPr>
          <w:rFonts w:ascii="Times New Roman" w:hAnsi="Times New Roman" w:cs="Times New Roman"/>
          <w:sz w:val="24"/>
          <w:szCs w:val="24"/>
        </w:rPr>
        <w:t xml:space="preserve"> Taking things in a different direction, c</w:t>
      </w:r>
      <w:r w:rsidR="00057ECE">
        <w:rPr>
          <w:rFonts w:ascii="Times New Roman" w:hAnsi="Times New Roman" w:cs="Times New Roman"/>
          <w:sz w:val="24"/>
          <w:szCs w:val="24"/>
        </w:rPr>
        <w:t>onsider t</w:t>
      </w:r>
      <w:r w:rsidRPr="005E3083">
        <w:rPr>
          <w:rFonts w:ascii="Times New Roman" w:hAnsi="Times New Roman" w:cs="Times New Roman"/>
          <w:sz w:val="24"/>
          <w:szCs w:val="24"/>
        </w:rPr>
        <w:t>he substantial overlap of share ownership in the same oligopolistic industry by broad-based index investment funds—the so-called common ownership phenomenon</w:t>
      </w:r>
      <w:r w:rsidR="00727D79">
        <w:rPr>
          <w:rStyle w:val="FootnoteReference"/>
          <w:rFonts w:ascii="Times New Roman" w:hAnsi="Times New Roman" w:cs="Times New Roman"/>
          <w:sz w:val="24"/>
          <w:szCs w:val="24"/>
        </w:rPr>
        <w:footnoteReference w:id="9"/>
      </w:r>
      <w:r w:rsidR="00057ECE">
        <w:rPr>
          <w:rFonts w:ascii="Times New Roman" w:hAnsi="Times New Roman" w:cs="Times New Roman"/>
          <w:sz w:val="24"/>
          <w:szCs w:val="24"/>
        </w:rPr>
        <w:t xml:space="preserve"> A wealth-maximizing</w:t>
      </w:r>
      <w:r w:rsidRPr="005E3083">
        <w:rPr>
          <w:rFonts w:ascii="Times New Roman" w:hAnsi="Times New Roman" w:cs="Times New Roman"/>
          <w:sz w:val="24"/>
          <w:szCs w:val="24"/>
        </w:rPr>
        <w:t xml:space="preserve"> individual who has invested </w:t>
      </w:r>
      <w:r w:rsidR="00D76CE7">
        <w:rPr>
          <w:rFonts w:ascii="Times New Roman" w:hAnsi="Times New Roman" w:cs="Times New Roman"/>
          <w:sz w:val="24"/>
          <w:szCs w:val="24"/>
        </w:rPr>
        <w:t xml:space="preserve">in </w:t>
      </w:r>
      <w:r w:rsidRPr="005E3083">
        <w:rPr>
          <w:rFonts w:ascii="Times New Roman" w:hAnsi="Times New Roman" w:cs="Times New Roman"/>
          <w:sz w:val="24"/>
          <w:szCs w:val="24"/>
        </w:rPr>
        <w:t xml:space="preserve">such a fund </w:t>
      </w:r>
      <w:r w:rsidR="00D76CE7">
        <w:rPr>
          <w:rFonts w:ascii="Times New Roman" w:hAnsi="Times New Roman" w:cs="Times New Roman"/>
          <w:sz w:val="24"/>
          <w:szCs w:val="24"/>
        </w:rPr>
        <w:t xml:space="preserve">is </w:t>
      </w:r>
      <w:r w:rsidR="004904B1">
        <w:rPr>
          <w:rFonts w:ascii="Times New Roman" w:hAnsi="Times New Roman" w:cs="Times New Roman"/>
          <w:sz w:val="24"/>
          <w:szCs w:val="24"/>
        </w:rPr>
        <w:t xml:space="preserve">thus </w:t>
      </w:r>
      <w:r w:rsidR="00D76CE7">
        <w:rPr>
          <w:rFonts w:ascii="Times New Roman" w:hAnsi="Times New Roman" w:cs="Times New Roman"/>
          <w:sz w:val="24"/>
          <w:szCs w:val="24"/>
        </w:rPr>
        <w:t xml:space="preserve">concerned with </w:t>
      </w:r>
      <w:r>
        <w:rPr>
          <w:rFonts w:ascii="Times New Roman" w:hAnsi="Times New Roman" w:cs="Times New Roman"/>
          <w:sz w:val="24"/>
          <w:szCs w:val="24"/>
        </w:rPr>
        <w:t xml:space="preserve">the </w:t>
      </w:r>
      <w:r w:rsidR="004904B1">
        <w:rPr>
          <w:rFonts w:ascii="Times New Roman" w:hAnsi="Times New Roman" w:cs="Times New Roman"/>
          <w:sz w:val="24"/>
          <w:szCs w:val="24"/>
        </w:rPr>
        <w:t xml:space="preserve">combined </w:t>
      </w:r>
      <w:r>
        <w:rPr>
          <w:rFonts w:ascii="Times New Roman" w:hAnsi="Times New Roman" w:cs="Times New Roman"/>
          <w:sz w:val="24"/>
          <w:szCs w:val="24"/>
        </w:rPr>
        <w:t xml:space="preserve">profitability of multiple firms in </w:t>
      </w:r>
      <w:r w:rsidR="00D76CE7">
        <w:rPr>
          <w:rFonts w:ascii="Times New Roman" w:hAnsi="Times New Roman" w:cs="Times New Roman"/>
          <w:sz w:val="24"/>
          <w:szCs w:val="24"/>
        </w:rPr>
        <w:t>that</w:t>
      </w:r>
      <w:r>
        <w:rPr>
          <w:rFonts w:ascii="Times New Roman" w:hAnsi="Times New Roman" w:cs="Times New Roman"/>
          <w:sz w:val="24"/>
          <w:szCs w:val="24"/>
        </w:rPr>
        <w:t xml:space="preserve"> </w:t>
      </w:r>
      <w:r w:rsidRPr="005E3083">
        <w:rPr>
          <w:rFonts w:ascii="Times New Roman" w:hAnsi="Times New Roman" w:cs="Times New Roman"/>
          <w:sz w:val="24"/>
          <w:szCs w:val="24"/>
        </w:rPr>
        <w:t>industry</w:t>
      </w:r>
      <w:r w:rsidR="00D76CE7">
        <w:rPr>
          <w:rFonts w:ascii="Times New Roman" w:hAnsi="Times New Roman" w:cs="Times New Roman"/>
          <w:sz w:val="24"/>
          <w:szCs w:val="24"/>
        </w:rPr>
        <w:t xml:space="preserve">.  This means </w:t>
      </w:r>
      <w:r>
        <w:rPr>
          <w:rFonts w:ascii="Times New Roman" w:hAnsi="Times New Roman" w:cs="Times New Roman"/>
          <w:sz w:val="24"/>
          <w:szCs w:val="24"/>
        </w:rPr>
        <w:t xml:space="preserve">that she would wish that </w:t>
      </w:r>
      <w:r w:rsidR="00057ECE">
        <w:rPr>
          <w:rFonts w:ascii="Times New Roman" w:hAnsi="Times New Roman" w:cs="Times New Roman"/>
          <w:sz w:val="24"/>
          <w:szCs w:val="24"/>
        </w:rPr>
        <w:t>each</w:t>
      </w:r>
      <w:r w:rsidRPr="005E3083">
        <w:rPr>
          <w:rFonts w:ascii="Times New Roman" w:hAnsi="Times New Roman" w:cs="Times New Roman"/>
          <w:sz w:val="24"/>
          <w:szCs w:val="24"/>
        </w:rPr>
        <w:t xml:space="preserve"> </w:t>
      </w:r>
      <w:r w:rsidR="004904B1">
        <w:rPr>
          <w:rFonts w:ascii="Times New Roman" w:hAnsi="Times New Roman" w:cs="Times New Roman"/>
          <w:sz w:val="24"/>
          <w:szCs w:val="24"/>
        </w:rPr>
        <w:t xml:space="preserve">such firm </w:t>
      </w:r>
      <w:r w:rsidR="004904B1" w:rsidRPr="005E3083">
        <w:rPr>
          <w:rFonts w:ascii="Times New Roman" w:hAnsi="Times New Roman" w:cs="Times New Roman"/>
          <w:sz w:val="24"/>
          <w:szCs w:val="24"/>
        </w:rPr>
        <w:t>competed</w:t>
      </w:r>
      <w:r w:rsidR="004904B1">
        <w:rPr>
          <w:rFonts w:ascii="Times New Roman" w:hAnsi="Times New Roman" w:cs="Times New Roman"/>
          <w:sz w:val="24"/>
          <w:szCs w:val="24"/>
        </w:rPr>
        <w:t xml:space="preserve"> </w:t>
      </w:r>
      <w:r w:rsidRPr="005E3083">
        <w:rPr>
          <w:rFonts w:ascii="Times New Roman" w:hAnsi="Times New Roman" w:cs="Times New Roman"/>
          <w:sz w:val="24"/>
          <w:szCs w:val="24"/>
        </w:rPr>
        <w:t xml:space="preserve">less aggressively </w:t>
      </w:r>
      <w:r>
        <w:rPr>
          <w:rFonts w:ascii="Times New Roman" w:hAnsi="Times New Roman" w:cs="Times New Roman"/>
          <w:sz w:val="24"/>
          <w:szCs w:val="24"/>
        </w:rPr>
        <w:t xml:space="preserve">than </w:t>
      </w:r>
      <w:r w:rsidR="004904B1">
        <w:rPr>
          <w:rFonts w:ascii="Times New Roman" w:hAnsi="Times New Roman" w:cs="Times New Roman"/>
          <w:sz w:val="24"/>
          <w:szCs w:val="24"/>
        </w:rPr>
        <w:t xml:space="preserve">would be profit </w:t>
      </w:r>
      <w:r w:rsidRPr="005E3083">
        <w:rPr>
          <w:rFonts w:ascii="Times New Roman" w:hAnsi="Times New Roman" w:cs="Times New Roman"/>
          <w:sz w:val="24"/>
          <w:szCs w:val="24"/>
        </w:rPr>
        <w:t>maximiz</w:t>
      </w:r>
      <w:r>
        <w:rPr>
          <w:rFonts w:ascii="Times New Roman" w:hAnsi="Times New Roman" w:cs="Times New Roman"/>
          <w:sz w:val="24"/>
          <w:szCs w:val="24"/>
        </w:rPr>
        <w:t>ing</w:t>
      </w:r>
      <w:r w:rsidR="004904B1">
        <w:rPr>
          <w:rFonts w:ascii="Times New Roman" w:hAnsi="Times New Roman" w:cs="Times New Roman"/>
          <w:sz w:val="24"/>
          <w:szCs w:val="24"/>
        </w:rPr>
        <w:t>.</w:t>
      </w:r>
      <w:r w:rsidR="00727D79">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w:t>
      </w:r>
      <w:r w:rsidR="00057ECE">
        <w:rPr>
          <w:rFonts w:ascii="Times New Roman" w:hAnsi="Times New Roman" w:cs="Times New Roman"/>
          <w:sz w:val="24"/>
          <w:szCs w:val="24"/>
        </w:rPr>
        <w:t>In contrast, a</w:t>
      </w:r>
      <w:r w:rsidR="00880881">
        <w:rPr>
          <w:rFonts w:ascii="Times New Roman" w:hAnsi="Times New Roman" w:cs="Times New Roman"/>
          <w:sz w:val="24"/>
          <w:szCs w:val="24"/>
        </w:rPr>
        <w:t xml:space="preserve"> wealth-maximizing </w:t>
      </w:r>
      <w:r w:rsidR="00057ECE">
        <w:rPr>
          <w:rFonts w:ascii="Times New Roman" w:hAnsi="Times New Roman" w:cs="Times New Roman"/>
          <w:sz w:val="24"/>
          <w:szCs w:val="24"/>
        </w:rPr>
        <w:t xml:space="preserve">individual </w:t>
      </w:r>
      <w:r w:rsidR="004904B1">
        <w:rPr>
          <w:rFonts w:ascii="Times New Roman" w:hAnsi="Times New Roman" w:cs="Times New Roman"/>
          <w:sz w:val="24"/>
          <w:szCs w:val="24"/>
        </w:rPr>
        <w:t xml:space="preserve">who is invested, directly or indirectly, in just one firm in that industry </w:t>
      </w:r>
      <w:r w:rsidRPr="005E3083">
        <w:rPr>
          <w:rFonts w:ascii="Times New Roman" w:hAnsi="Times New Roman" w:cs="Times New Roman"/>
          <w:sz w:val="24"/>
          <w:szCs w:val="24"/>
        </w:rPr>
        <w:t xml:space="preserve">would </w:t>
      </w:r>
      <w:r w:rsidR="004904B1">
        <w:rPr>
          <w:rFonts w:ascii="Times New Roman" w:hAnsi="Times New Roman" w:cs="Times New Roman"/>
          <w:sz w:val="24"/>
          <w:szCs w:val="24"/>
        </w:rPr>
        <w:t>wish that it would profit maximize.</w:t>
      </w:r>
      <w:bookmarkStart w:id="3" w:name="_Ref180746103"/>
      <w:r w:rsidR="00727D79">
        <w:rPr>
          <w:rStyle w:val="FootnoteReference"/>
          <w:rFonts w:ascii="Times New Roman" w:hAnsi="Times New Roman" w:cs="Times New Roman"/>
          <w:sz w:val="24"/>
          <w:szCs w:val="24"/>
        </w:rPr>
        <w:footnoteReference w:id="11"/>
      </w:r>
      <w:bookmarkEnd w:id="3"/>
      <w:r w:rsidR="004904B1">
        <w:rPr>
          <w:rFonts w:ascii="Times New Roman" w:hAnsi="Times New Roman" w:cs="Times New Roman"/>
          <w:sz w:val="24"/>
          <w:szCs w:val="24"/>
        </w:rPr>
        <w:t xml:space="preserve">  </w:t>
      </w:r>
      <w:r w:rsidRPr="005E3083">
        <w:rPr>
          <w:rFonts w:ascii="Times New Roman" w:hAnsi="Times New Roman" w:cs="Times New Roman"/>
          <w:sz w:val="24"/>
          <w:szCs w:val="24"/>
        </w:rPr>
        <w:tab/>
      </w:r>
      <w:r w:rsidR="00796064">
        <w:rPr>
          <w:rFonts w:ascii="Times New Roman" w:hAnsi="Times New Roman" w:cs="Times New Roman"/>
          <w:sz w:val="24"/>
          <w:szCs w:val="24"/>
        </w:rPr>
        <w:t xml:space="preserve"> </w:t>
      </w:r>
    </w:p>
    <w:p w14:paraId="6658BECB" w14:textId="7E8A6CE7" w:rsidR="009B682C" w:rsidRDefault="009B682C" w:rsidP="009B682C">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5E3083">
        <w:rPr>
          <w:rFonts w:ascii="Times New Roman" w:hAnsi="Times New Roman" w:cs="Times New Roman"/>
          <w:sz w:val="24"/>
          <w:szCs w:val="24"/>
        </w:rPr>
        <w:t xml:space="preserve">Given the current structure of corporate governance in the United States, the behavior of </w:t>
      </w:r>
      <w:r>
        <w:rPr>
          <w:rFonts w:ascii="Times New Roman" w:hAnsi="Times New Roman" w:cs="Times New Roman"/>
          <w:sz w:val="24"/>
          <w:szCs w:val="24"/>
        </w:rPr>
        <w:t xml:space="preserve">the typical </w:t>
      </w:r>
      <w:r w:rsidRPr="005E3083">
        <w:rPr>
          <w:rFonts w:ascii="Times New Roman" w:hAnsi="Times New Roman" w:cs="Times New Roman"/>
          <w:sz w:val="24"/>
          <w:szCs w:val="24"/>
        </w:rPr>
        <w:t>publicly</w:t>
      </w:r>
      <w:r w:rsidR="0004212C">
        <w:rPr>
          <w:rFonts w:ascii="Times New Roman" w:hAnsi="Times New Roman" w:cs="Times New Roman"/>
          <w:sz w:val="24"/>
          <w:szCs w:val="24"/>
        </w:rPr>
        <w:t xml:space="preserve"> </w:t>
      </w:r>
      <w:r w:rsidRPr="005E3083">
        <w:rPr>
          <w:rFonts w:ascii="Times New Roman" w:hAnsi="Times New Roman" w:cs="Times New Roman"/>
          <w:sz w:val="24"/>
          <w:szCs w:val="24"/>
        </w:rPr>
        <w:t>traded dispersed</w:t>
      </w:r>
      <w:r>
        <w:rPr>
          <w:rFonts w:ascii="Times New Roman" w:hAnsi="Times New Roman" w:cs="Times New Roman"/>
          <w:sz w:val="24"/>
          <w:szCs w:val="24"/>
        </w:rPr>
        <w:t>-</w:t>
      </w:r>
      <w:r w:rsidRPr="005E3083">
        <w:rPr>
          <w:rFonts w:ascii="Times New Roman" w:hAnsi="Times New Roman" w:cs="Times New Roman"/>
          <w:sz w:val="24"/>
          <w:szCs w:val="24"/>
        </w:rPr>
        <w:t>ownership corporation is in the first instance determined by its managers</w:t>
      </w:r>
      <w:r w:rsidR="00796064">
        <w:rPr>
          <w:rFonts w:ascii="Times New Roman" w:hAnsi="Times New Roman" w:cs="Times New Roman"/>
          <w:sz w:val="24"/>
          <w:szCs w:val="24"/>
        </w:rPr>
        <w:t xml:space="preserve">. </w:t>
      </w:r>
      <w:r w:rsidRPr="005E3083">
        <w:rPr>
          <w:rFonts w:ascii="Times New Roman" w:hAnsi="Times New Roman" w:cs="Times New Roman"/>
          <w:sz w:val="24"/>
          <w:szCs w:val="24"/>
        </w:rPr>
        <w:t xml:space="preserve">Thus, when we ask how the preferences of equity investors affect </w:t>
      </w:r>
      <w:r>
        <w:rPr>
          <w:rFonts w:ascii="Times New Roman" w:hAnsi="Times New Roman" w:cs="Times New Roman"/>
          <w:sz w:val="24"/>
          <w:szCs w:val="24"/>
        </w:rPr>
        <w:t xml:space="preserve">such </w:t>
      </w:r>
      <w:r w:rsidRPr="005E3083">
        <w:rPr>
          <w:rFonts w:ascii="Times New Roman" w:hAnsi="Times New Roman" w:cs="Times New Roman"/>
          <w:sz w:val="24"/>
          <w:szCs w:val="24"/>
        </w:rPr>
        <w:t xml:space="preserve">a </w:t>
      </w:r>
      <w:r>
        <w:rPr>
          <w:rFonts w:ascii="Times New Roman" w:hAnsi="Times New Roman" w:cs="Times New Roman"/>
          <w:sz w:val="24"/>
          <w:szCs w:val="24"/>
        </w:rPr>
        <w:t>f</w:t>
      </w:r>
      <w:r w:rsidRPr="005E3083">
        <w:rPr>
          <w:rFonts w:ascii="Times New Roman" w:hAnsi="Times New Roman" w:cs="Times New Roman"/>
          <w:sz w:val="24"/>
          <w:szCs w:val="24"/>
        </w:rPr>
        <w:t>irm’s behavior, we are asking how, if at all, these preferences affect manager</w:t>
      </w:r>
      <w:r>
        <w:rPr>
          <w:rFonts w:ascii="Times New Roman" w:hAnsi="Times New Roman" w:cs="Times New Roman"/>
          <w:sz w:val="24"/>
          <w:szCs w:val="24"/>
        </w:rPr>
        <w:t>ial</w:t>
      </w:r>
      <w:r w:rsidRPr="005E3083">
        <w:rPr>
          <w:rFonts w:ascii="Times New Roman" w:hAnsi="Times New Roman" w:cs="Times New Roman"/>
          <w:sz w:val="24"/>
          <w:szCs w:val="24"/>
        </w:rPr>
        <w:t xml:space="preserve"> </w:t>
      </w:r>
      <w:r>
        <w:rPr>
          <w:rFonts w:ascii="Times New Roman" w:hAnsi="Times New Roman" w:cs="Times New Roman"/>
          <w:sz w:val="24"/>
          <w:szCs w:val="24"/>
        </w:rPr>
        <w:t>incentives</w:t>
      </w:r>
      <w:r w:rsidR="00796064">
        <w:rPr>
          <w:rFonts w:ascii="Times New Roman" w:hAnsi="Times New Roman" w:cs="Times New Roman"/>
          <w:sz w:val="24"/>
          <w:szCs w:val="24"/>
        </w:rPr>
        <w:t xml:space="preserve">. </w:t>
      </w:r>
      <w:r>
        <w:rPr>
          <w:rFonts w:ascii="Times New Roman" w:hAnsi="Times New Roman" w:cs="Times New Roman"/>
          <w:sz w:val="24"/>
          <w:szCs w:val="24"/>
        </w:rPr>
        <w:t>A</w:t>
      </w:r>
      <w:r w:rsidRPr="005E3083">
        <w:rPr>
          <w:rFonts w:ascii="Times New Roman" w:hAnsi="Times New Roman" w:cs="Times New Roman"/>
          <w:sz w:val="24"/>
          <w:szCs w:val="24"/>
        </w:rPr>
        <w:t>t one end of our inquiry, we have each firm’s managerial incentive structure</w:t>
      </w:r>
      <w:r w:rsidR="00796064">
        <w:rPr>
          <w:rFonts w:ascii="Times New Roman" w:hAnsi="Times New Roman" w:cs="Times New Roman"/>
          <w:sz w:val="24"/>
          <w:szCs w:val="24"/>
        </w:rPr>
        <w:t xml:space="preserve">. </w:t>
      </w:r>
      <w:r w:rsidRPr="005E3083">
        <w:rPr>
          <w:rFonts w:ascii="Times New Roman" w:hAnsi="Times New Roman" w:cs="Times New Roman"/>
          <w:sz w:val="24"/>
          <w:szCs w:val="24"/>
        </w:rPr>
        <w:t>At the other end, we have the economy’s equity investors</w:t>
      </w:r>
      <w:r w:rsidR="00796064">
        <w:rPr>
          <w:rFonts w:ascii="Times New Roman" w:hAnsi="Times New Roman" w:cs="Times New Roman"/>
          <w:sz w:val="24"/>
          <w:szCs w:val="24"/>
        </w:rPr>
        <w:t xml:space="preserve">. </w:t>
      </w:r>
      <w:r w:rsidR="00137622">
        <w:rPr>
          <w:rFonts w:ascii="Times New Roman" w:hAnsi="Times New Roman" w:cs="Times New Roman"/>
          <w:sz w:val="24"/>
          <w:szCs w:val="24"/>
        </w:rPr>
        <w:t>Such an investor, b</w:t>
      </w:r>
      <w:r w:rsidRPr="005E3083">
        <w:rPr>
          <w:rFonts w:ascii="Times New Roman" w:hAnsi="Times New Roman" w:cs="Times New Roman"/>
          <w:sz w:val="24"/>
          <w:szCs w:val="24"/>
        </w:rPr>
        <w:t xml:space="preserve">y </w:t>
      </w:r>
      <w:r w:rsidR="00137622">
        <w:rPr>
          <w:rFonts w:ascii="Times New Roman" w:hAnsi="Times New Roman" w:cs="Times New Roman"/>
          <w:sz w:val="24"/>
          <w:szCs w:val="24"/>
        </w:rPr>
        <w:t>her</w:t>
      </w:r>
      <w:r w:rsidRPr="005E3083">
        <w:rPr>
          <w:rFonts w:ascii="Times New Roman" w:hAnsi="Times New Roman" w:cs="Times New Roman"/>
          <w:sz w:val="24"/>
          <w:szCs w:val="24"/>
        </w:rPr>
        <w:t xml:space="preserve"> own decisions or by delegation to the managers of the funds in which </w:t>
      </w:r>
      <w:r w:rsidR="00137622">
        <w:rPr>
          <w:rFonts w:ascii="Times New Roman" w:hAnsi="Times New Roman" w:cs="Times New Roman"/>
          <w:sz w:val="24"/>
          <w:szCs w:val="24"/>
        </w:rPr>
        <w:t xml:space="preserve">she </w:t>
      </w:r>
      <w:r w:rsidRPr="005E3083">
        <w:rPr>
          <w:rFonts w:ascii="Times New Roman" w:hAnsi="Times New Roman" w:cs="Times New Roman"/>
          <w:sz w:val="24"/>
          <w:szCs w:val="24"/>
        </w:rPr>
        <w:t>choose</w:t>
      </w:r>
      <w:r w:rsidR="00137622">
        <w:rPr>
          <w:rFonts w:ascii="Times New Roman" w:hAnsi="Times New Roman" w:cs="Times New Roman"/>
          <w:sz w:val="24"/>
          <w:szCs w:val="24"/>
        </w:rPr>
        <w:t>s</w:t>
      </w:r>
      <w:r w:rsidRPr="005E3083">
        <w:rPr>
          <w:rFonts w:ascii="Times New Roman" w:hAnsi="Times New Roman" w:cs="Times New Roman"/>
          <w:sz w:val="24"/>
          <w:szCs w:val="24"/>
        </w:rPr>
        <w:t xml:space="preserve"> to invest</w:t>
      </w:r>
      <w:r w:rsidR="00137622">
        <w:rPr>
          <w:rFonts w:ascii="Times New Roman" w:hAnsi="Times New Roman" w:cs="Times New Roman"/>
          <w:sz w:val="24"/>
          <w:szCs w:val="24"/>
        </w:rPr>
        <w:t>,</w:t>
      </w:r>
      <w:r w:rsidR="00727D79">
        <w:rPr>
          <w:rFonts w:ascii="Times New Roman" w:hAnsi="Times New Roman" w:cs="Times New Roman"/>
          <w:sz w:val="24"/>
          <w:szCs w:val="24"/>
        </w:rPr>
        <w:t xml:space="preserve"> (1)</w:t>
      </w:r>
      <w:r w:rsidRPr="005E3083">
        <w:rPr>
          <w:rFonts w:ascii="Times New Roman" w:hAnsi="Times New Roman" w:cs="Times New Roman"/>
          <w:sz w:val="24"/>
          <w:szCs w:val="24"/>
        </w:rPr>
        <w:t xml:space="preserve"> </w:t>
      </w:r>
      <w:r>
        <w:rPr>
          <w:rFonts w:ascii="Times New Roman" w:hAnsi="Times New Roman" w:cs="Times New Roman"/>
          <w:sz w:val="24"/>
          <w:szCs w:val="24"/>
        </w:rPr>
        <w:t>determine</w:t>
      </w:r>
      <w:r w:rsidR="00137622">
        <w:rPr>
          <w:rFonts w:ascii="Times New Roman" w:hAnsi="Times New Roman" w:cs="Times New Roman"/>
          <w:sz w:val="24"/>
          <w:szCs w:val="24"/>
        </w:rPr>
        <w:t>s</w:t>
      </w:r>
      <w:r>
        <w:rPr>
          <w:rFonts w:ascii="Times New Roman" w:hAnsi="Times New Roman" w:cs="Times New Roman"/>
          <w:sz w:val="24"/>
          <w:szCs w:val="24"/>
        </w:rPr>
        <w:t xml:space="preserve"> which firms’ shares</w:t>
      </w:r>
      <w:r w:rsidR="00724085">
        <w:rPr>
          <w:rFonts w:ascii="Times New Roman" w:hAnsi="Times New Roman" w:cs="Times New Roman"/>
          <w:sz w:val="24"/>
          <w:szCs w:val="24"/>
        </w:rPr>
        <w:t>, directly or indirectly,</w:t>
      </w:r>
      <w:r>
        <w:rPr>
          <w:rFonts w:ascii="Times New Roman" w:hAnsi="Times New Roman" w:cs="Times New Roman"/>
          <w:sz w:val="24"/>
          <w:szCs w:val="24"/>
        </w:rPr>
        <w:t xml:space="preserve"> </w:t>
      </w:r>
      <w:r w:rsidR="00137622">
        <w:rPr>
          <w:rFonts w:ascii="Times New Roman" w:hAnsi="Times New Roman" w:cs="Times New Roman"/>
          <w:sz w:val="24"/>
          <w:szCs w:val="24"/>
        </w:rPr>
        <w:t xml:space="preserve">compose her </w:t>
      </w:r>
      <w:r>
        <w:rPr>
          <w:rFonts w:ascii="Times New Roman" w:hAnsi="Times New Roman" w:cs="Times New Roman"/>
          <w:sz w:val="24"/>
          <w:szCs w:val="24"/>
        </w:rPr>
        <w:t>portfolios</w:t>
      </w:r>
      <w:r w:rsidR="00727D79">
        <w:rPr>
          <w:rFonts w:ascii="Times New Roman" w:hAnsi="Times New Roman" w:cs="Times New Roman"/>
          <w:sz w:val="24"/>
          <w:szCs w:val="24"/>
        </w:rPr>
        <w:t xml:space="preserve">, and (2) </w:t>
      </w:r>
      <w:r w:rsidRPr="005E3083">
        <w:rPr>
          <w:rFonts w:ascii="Times New Roman" w:hAnsi="Times New Roman" w:cs="Times New Roman"/>
          <w:sz w:val="24"/>
          <w:szCs w:val="24"/>
        </w:rPr>
        <w:t>exercise</w:t>
      </w:r>
      <w:r w:rsidR="00137622">
        <w:rPr>
          <w:rFonts w:ascii="Times New Roman" w:hAnsi="Times New Roman" w:cs="Times New Roman"/>
          <w:sz w:val="24"/>
          <w:szCs w:val="24"/>
        </w:rPr>
        <w:t>s</w:t>
      </w:r>
      <w:r w:rsidRPr="005E3083">
        <w:rPr>
          <w:rFonts w:ascii="Times New Roman" w:hAnsi="Times New Roman" w:cs="Times New Roman"/>
          <w:sz w:val="24"/>
          <w:szCs w:val="24"/>
        </w:rPr>
        <w:t xml:space="preserve"> the shareholder franchise </w:t>
      </w:r>
      <w:r>
        <w:rPr>
          <w:rFonts w:ascii="Times New Roman" w:hAnsi="Times New Roman" w:cs="Times New Roman"/>
          <w:sz w:val="24"/>
          <w:szCs w:val="24"/>
        </w:rPr>
        <w:t>with respect to the firms in th</w:t>
      </w:r>
      <w:r w:rsidR="00137622">
        <w:rPr>
          <w:rFonts w:ascii="Times New Roman" w:hAnsi="Times New Roman" w:cs="Times New Roman"/>
          <w:sz w:val="24"/>
          <w:szCs w:val="24"/>
        </w:rPr>
        <w:t xml:space="preserve">is </w:t>
      </w:r>
      <w:r>
        <w:rPr>
          <w:rFonts w:ascii="Times New Roman" w:hAnsi="Times New Roman" w:cs="Times New Roman"/>
          <w:sz w:val="24"/>
          <w:szCs w:val="24"/>
        </w:rPr>
        <w:t>portfolio</w:t>
      </w:r>
      <w:r w:rsidR="00796064">
        <w:rPr>
          <w:rFonts w:ascii="Times New Roman" w:hAnsi="Times New Roman" w:cs="Times New Roman"/>
          <w:sz w:val="24"/>
          <w:szCs w:val="24"/>
        </w:rPr>
        <w:t>.</w:t>
      </w:r>
      <w:r w:rsidR="00A946AF">
        <w:rPr>
          <w:rStyle w:val="FootnoteReference"/>
          <w:rFonts w:ascii="Times New Roman" w:hAnsi="Times New Roman" w:cs="Times New Roman"/>
          <w:sz w:val="24"/>
          <w:szCs w:val="24"/>
        </w:rPr>
        <w:footnoteReference w:id="12"/>
      </w:r>
      <w:r w:rsidR="00796064">
        <w:rPr>
          <w:rFonts w:ascii="Times New Roman" w:hAnsi="Times New Roman" w:cs="Times New Roman"/>
          <w:sz w:val="24"/>
          <w:szCs w:val="24"/>
        </w:rPr>
        <w:t xml:space="preserve"> </w:t>
      </w:r>
    </w:p>
    <w:p w14:paraId="759C5F4A" w14:textId="0192C6D0" w:rsidR="009B682C" w:rsidRDefault="009B682C" w:rsidP="009B682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6A2F7D">
        <w:rPr>
          <w:rFonts w:ascii="Times New Roman" w:hAnsi="Times New Roman" w:cs="Times New Roman"/>
          <w:sz w:val="24"/>
          <w:szCs w:val="24"/>
        </w:rPr>
        <w:t>The first question we seek to answer is positive</w:t>
      </w:r>
      <w:r w:rsidR="00886456">
        <w:rPr>
          <w:rFonts w:ascii="Times New Roman" w:hAnsi="Times New Roman" w:cs="Times New Roman"/>
          <w:sz w:val="24"/>
          <w:szCs w:val="24"/>
        </w:rPr>
        <w:t xml:space="preserve">.  </w:t>
      </w:r>
      <w:r w:rsidR="006A2F7D">
        <w:rPr>
          <w:rFonts w:ascii="Times New Roman" w:hAnsi="Times New Roman" w:cs="Times New Roman"/>
          <w:sz w:val="24"/>
          <w:szCs w:val="24"/>
        </w:rPr>
        <w:t xml:space="preserve">Given existing governance arrangements, will the </w:t>
      </w:r>
      <w:r w:rsidR="006A2F7D" w:rsidRPr="001F22A2">
        <w:rPr>
          <w:rFonts w:ascii="Times New Roman" w:hAnsi="Times New Roman" w:cs="Times New Roman"/>
          <w:sz w:val="24"/>
          <w:szCs w:val="24"/>
        </w:rPr>
        <w:t xml:space="preserve">heterogeneity that we see today </w:t>
      </w:r>
      <w:r w:rsidR="006A2F7D">
        <w:rPr>
          <w:rFonts w:ascii="Times New Roman" w:hAnsi="Times New Roman" w:cs="Times New Roman"/>
          <w:sz w:val="24"/>
          <w:szCs w:val="24"/>
        </w:rPr>
        <w:t xml:space="preserve">in investor preferences </w:t>
      </w:r>
      <w:r w:rsidR="006A2F7D" w:rsidRPr="001F22A2">
        <w:rPr>
          <w:rFonts w:ascii="Times New Roman" w:hAnsi="Times New Roman" w:cs="Times New Roman"/>
          <w:sz w:val="24"/>
          <w:szCs w:val="24"/>
        </w:rPr>
        <w:t xml:space="preserve">cause managers </w:t>
      </w:r>
      <w:r w:rsidR="006A2F7D">
        <w:rPr>
          <w:rFonts w:ascii="Times New Roman" w:hAnsi="Times New Roman" w:cs="Times New Roman"/>
          <w:sz w:val="24"/>
          <w:szCs w:val="24"/>
        </w:rPr>
        <w:t xml:space="preserve">in a meaningful number of instances </w:t>
      </w:r>
      <w:r w:rsidR="006A2F7D" w:rsidRPr="001F22A2">
        <w:rPr>
          <w:rFonts w:ascii="Times New Roman" w:hAnsi="Times New Roman" w:cs="Times New Roman"/>
          <w:sz w:val="24"/>
          <w:szCs w:val="24"/>
        </w:rPr>
        <w:t xml:space="preserve">to </w:t>
      </w:r>
      <w:r w:rsidR="006A2F7D">
        <w:rPr>
          <w:rFonts w:ascii="Times New Roman" w:hAnsi="Times New Roman" w:cs="Times New Roman"/>
          <w:sz w:val="24"/>
          <w:szCs w:val="24"/>
        </w:rPr>
        <w:t xml:space="preserve">significantly </w:t>
      </w:r>
      <w:r w:rsidR="006A2F7D" w:rsidRPr="001F22A2">
        <w:rPr>
          <w:rFonts w:ascii="Times New Roman" w:hAnsi="Times New Roman" w:cs="Times New Roman"/>
          <w:sz w:val="24"/>
          <w:szCs w:val="24"/>
        </w:rPr>
        <w:t>modify firm behavior</w:t>
      </w:r>
      <w:r w:rsidR="00137622">
        <w:rPr>
          <w:rFonts w:ascii="Times New Roman" w:hAnsi="Times New Roman" w:cs="Times New Roman"/>
          <w:sz w:val="24"/>
          <w:szCs w:val="24"/>
        </w:rPr>
        <w:t xml:space="preserve">?  In other words, is firm behavior significantly different than it would have been </w:t>
      </w:r>
      <w:r w:rsidR="006A2F7D">
        <w:rPr>
          <w:rFonts w:ascii="Times New Roman" w:hAnsi="Times New Roman" w:cs="Times New Roman"/>
          <w:sz w:val="24"/>
          <w:szCs w:val="24"/>
        </w:rPr>
        <w:t>if</w:t>
      </w:r>
      <w:r w:rsidR="006A2F7D" w:rsidRPr="001F22A2">
        <w:rPr>
          <w:rFonts w:ascii="Times New Roman" w:hAnsi="Times New Roman" w:cs="Times New Roman"/>
          <w:sz w:val="24"/>
          <w:szCs w:val="24"/>
        </w:rPr>
        <w:t xml:space="preserve">, as </w:t>
      </w:r>
      <w:r w:rsidR="006A2F7D">
        <w:rPr>
          <w:rFonts w:ascii="Times New Roman" w:hAnsi="Times New Roman" w:cs="Times New Roman"/>
          <w:sz w:val="24"/>
          <w:szCs w:val="24"/>
        </w:rPr>
        <w:t xml:space="preserve">has </w:t>
      </w:r>
      <w:r w:rsidR="006A2F7D" w:rsidRPr="001F22A2">
        <w:rPr>
          <w:rFonts w:ascii="Times New Roman" w:hAnsi="Times New Roman" w:cs="Times New Roman"/>
          <w:sz w:val="24"/>
          <w:szCs w:val="24"/>
        </w:rPr>
        <w:t xml:space="preserve">traditionally </w:t>
      </w:r>
      <w:r w:rsidR="006A2F7D">
        <w:rPr>
          <w:rFonts w:ascii="Times New Roman" w:hAnsi="Times New Roman" w:cs="Times New Roman"/>
          <w:sz w:val="24"/>
          <w:szCs w:val="24"/>
        </w:rPr>
        <w:t xml:space="preserve">been </w:t>
      </w:r>
      <w:r w:rsidR="006A2F7D" w:rsidRPr="001F22A2">
        <w:rPr>
          <w:rFonts w:ascii="Times New Roman" w:hAnsi="Times New Roman" w:cs="Times New Roman"/>
          <w:sz w:val="24"/>
          <w:szCs w:val="24"/>
        </w:rPr>
        <w:t xml:space="preserve">assumed, all investors </w:t>
      </w:r>
      <w:r w:rsidR="006A2F7D">
        <w:rPr>
          <w:rFonts w:ascii="Times New Roman" w:hAnsi="Times New Roman" w:cs="Times New Roman"/>
          <w:sz w:val="24"/>
          <w:szCs w:val="24"/>
        </w:rPr>
        <w:t xml:space="preserve">simply </w:t>
      </w:r>
      <w:r w:rsidR="006A2F7D" w:rsidRPr="001F22A2">
        <w:rPr>
          <w:rFonts w:ascii="Times New Roman" w:hAnsi="Times New Roman" w:cs="Times New Roman"/>
          <w:sz w:val="24"/>
          <w:szCs w:val="24"/>
        </w:rPr>
        <w:t>desire</w:t>
      </w:r>
      <w:r w:rsidR="00724085">
        <w:rPr>
          <w:rFonts w:ascii="Times New Roman" w:hAnsi="Times New Roman" w:cs="Times New Roman"/>
          <w:sz w:val="24"/>
          <w:szCs w:val="24"/>
        </w:rPr>
        <w:t>d</w:t>
      </w:r>
      <w:r w:rsidR="006A2F7D" w:rsidRPr="001F22A2">
        <w:rPr>
          <w:rFonts w:ascii="Times New Roman" w:hAnsi="Times New Roman" w:cs="Times New Roman"/>
          <w:sz w:val="24"/>
          <w:szCs w:val="24"/>
        </w:rPr>
        <w:t xml:space="preserve"> the firm to maximize share value</w:t>
      </w:r>
      <w:r w:rsidR="00137622">
        <w:rPr>
          <w:rFonts w:ascii="Times New Roman" w:hAnsi="Times New Roman" w:cs="Times New Roman"/>
          <w:sz w:val="24"/>
          <w:szCs w:val="24"/>
        </w:rPr>
        <w:t>?</w:t>
      </w:r>
      <w:r w:rsidR="006A2F7D">
        <w:rPr>
          <w:rFonts w:ascii="Times New Roman" w:hAnsi="Times New Roman" w:cs="Times New Roman"/>
          <w:sz w:val="24"/>
          <w:szCs w:val="24"/>
        </w:rPr>
        <w:t xml:space="preserve">  Answering this question requires an inquiry into</w:t>
      </w:r>
      <w:r w:rsidR="00724085">
        <w:rPr>
          <w:rFonts w:ascii="Times New Roman" w:hAnsi="Times New Roman" w:cs="Times New Roman"/>
          <w:sz w:val="24"/>
          <w:szCs w:val="24"/>
        </w:rPr>
        <w:t xml:space="preserve"> (1)</w:t>
      </w:r>
      <w:r w:rsidR="006A2F7D">
        <w:rPr>
          <w:rFonts w:ascii="Times New Roman" w:hAnsi="Times New Roman" w:cs="Times New Roman"/>
          <w:sz w:val="24"/>
          <w:szCs w:val="24"/>
        </w:rPr>
        <w:t xml:space="preserve"> </w:t>
      </w:r>
      <w:r w:rsidRPr="005E3083">
        <w:rPr>
          <w:rFonts w:ascii="Times New Roman" w:hAnsi="Times New Roman" w:cs="Times New Roman"/>
          <w:sz w:val="24"/>
          <w:szCs w:val="24"/>
        </w:rPr>
        <w:t>how a</w:t>
      </w:r>
      <w:r w:rsidR="00886456">
        <w:rPr>
          <w:rFonts w:ascii="Times New Roman" w:hAnsi="Times New Roman" w:cs="Times New Roman"/>
          <w:sz w:val="24"/>
          <w:szCs w:val="24"/>
        </w:rPr>
        <w:t>ny</w:t>
      </w:r>
      <w:r w:rsidRPr="005E3083">
        <w:rPr>
          <w:rFonts w:ascii="Times New Roman" w:hAnsi="Times New Roman" w:cs="Times New Roman"/>
          <w:sz w:val="24"/>
          <w:szCs w:val="24"/>
        </w:rPr>
        <w:t xml:space="preserve"> given distribution of preferences among the economy’s equity investors affects the</w:t>
      </w:r>
      <w:r>
        <w:rPr>
          <w:rFonts w:ascii="Times New Roman" w:hAnsi="Times New Roman" w:cs="Times New Roman"/>
          <w:sz w:val="24"/>
          <w:szCs w:val="24"/>
        </w:rPr>
        <w:t xml:space="preserve"> </w:t>
      </w:r>
      <w:r w:rsidR="00886456">
        <w:rPr>
          <w:rFonts w:ascii="Times New Roman" w:hAnsi="Times New Roman" w:cs="Times New Roman"/>
          <w:sz w:val="24"/>
          <w:szCs w:val="24"/>
        </w:rPr>
        <w:t>way</w:t>
      </w:r>
      <w:r w:rsidR="00724085">
        <w:rPr>
          <w:rFonts w:ascii="Times New Roman" w:hAnsi="Times New Roman" w:cs="Times New Roman"/>
          <w:sz w:val="24"/>
          <w:szCs w:val="24"/>
        </w:rPr>
        <w:t xml:space="preserve">s that </w:t>
      </w:r>
      <w:r w:rsidR="006A2F7D">
        <w:rPr>
          <w:rFonts w:ascii="Times New Roman" w:hAnsi="Times New Roman" w:cs="Times New Roman"/>
          <w:sz w:val="24"/>
          <w:szCs w:val="24"/>
        </w:rPr>
        <w:t>their respective portfolios</w:t>
      </w:r>
      <w:r w:rsidR="00886456">
        <w:rPr>
          <w:rFonts w:ascii="Times New Roman" w:hAnsi="Times New Roman" w:cs="Times New Roman"/>
          <w:sz w:val="24"/>
          <w:szCs w:val="24"/>
        </w:rPr>
        <w:t xml:space="preserve"> are composed</w:t>
      </w:r>
      <w:r w:rsidR="006A2F7D">
        <w:rPr>
          <w:rFonts w:ascii="Times New Roman" w:hAnsi="Times New Roman" w:cs="Times New Roman"/>
          <w:sz w:val="24"/>
          <w:szCs w:val="24"/>
        </w:rPr>
        <w:t xml:space="preserve"> </w:t>
      </w:r>
      <w:r w:rsidRPr="005E3083">
        <w:rPr>
          <w:rFonts w:ascii="Times New Roman" w:hAnsi="Times New Roman" w:cs="Times New Roman"/>
          <w:sz w:val="24"/>
          <w:szCs w:val="24"/>
        </w:rPr>
        <w:t xml:space="preserve">and </w:t>
      </w:r>
      <w:r w:rsidR="00724085">
        <w:rPr>
          <w:rFonts w:ascii="Times New Roman" w:hAnsi="Times New Roman" w:cs="Times New Roman"/>
          <w:sz w:val="24"/>
          <w:szCs w:val="24"/>
        </w:rPr>
        <w:t xml:space="preserve">the shares in these portfolios are voted, and (2) </w:t>
      </w:r>
      <w:r w:rsidR="00886456">
        <w:rPr>
          <w:rFonts w:ascii="Times New Roman" w:hAnsi="Times New Roman" w:cs="Times New Roman"/>
          <w:sz w:val="24"/>
          <w:szCs w:val="24"/>
        </w:rPr>
        <w:t>how</w:t>
      </w:r>
      <w:r w:rsidR="00724085">
        <w:rPr>
          <w:rFonts w:ascii="Times New Roman" w:hAnsi="Times New Roman" w:cs="Times New Roman"/>
          <w:sz w:val="24"/>
          <w:szCs w:val="24"/>
        </w:rPr>
        <w:t>,</w:t>
      </w:r>
      <w:r w:rsidR="00886456">
        <w:rPr>
          <w:rFonts w:ascii="Times New Roman" w:hAnsi="Times New Roman" w:cs="Times New Roman"/>
          <w:sz w:val="24"/>
          <w:szCs w:val="24"/>
        </w:rPr>
        <w:t xml:space="preserve"> </w:t>
      </w:r>
      <w:r w:rsidR="00727D79">
        <w:rPr>
          <w:rFonts w:ascii="Times New Roman" w:hAnsi="Times New Roman" w:cs="Times New Roman"/>
          <w:sz w:val="24"/>
          <w:szCs w:val="24"/>
        </w:rPr>
        <w:t>in turn</w:t>
      </w:r>
      <w:r w:rsidR="006A2F7D">
        <w:rPr>
          <w:rFonts w:ascii="Times New Roman" w:hAnsi="Times New Roman" w:cs="Times New Roman"/>
          <w:sz w:val="24"/>
          <w:szCs w:val="24"/>
        </w:rPr>
        <w:t>,</w:t>
      </w:r>
      <w:r w:rsidR="00727D79">
        <w:rPr>
          <w:rFonts w:ascii="Times New Roman" w:hAnsi="Times New Roman" w:cs="Times New Roman"/>
          <w:sz w:val="24"/>
          <w:szCs w:val="24"/>
        </w:rPr>
        <w:t xml:space="preserve"> </w:t>
      </w:r>
      <w:r w:rsidRPr="005E3083">
        <w:rPr>
          <w:rFonts w:ascii="Times New Roman" w:hAnsi="Times New Roman" w:cs="Times New Roman"/>
          <w:sz w:val="24"/>
          <w:szCs w:val="24"/>
        </w:rPr>
        <w:t>the</w:t>
      </w:r>
      <w:r>
        <w:rPr>
          <w:rFonts w:ascii="Times New Roman" w:hAnsi="Times New Roman" w:cs="Times New Roman"/>
          <w:sz w:val="24"/>
          <w:szCs w:val="24"/>
        </w:rPr>
        <w:t xml:space="preserve"> resulting </w:t>
      </w:r>
      <w:r w:rsidR="006A2F7D">
        <w:rPr>
          <w:rFonts w:ascii="Times New Roman" w:hAnsi="Times New Roman" w:cs="Times New Roman"/>
          <w:sz w:val="24"/>
          <w:szCs w:val="24"/>
        </w:rPr>
        <w:t>set o</w:t>
      </w:r>
      <w:r>
        <w:rPr>
          <w:rFonts w:ascii="Times New Roman" w:hAnsi="Times New Roman" w:cs="Times New Roman"/>
          <w:sz w:val="24"/>
          <w:szCs w:val="24"/>
        </w:rPr>
        <w:t xml:space="preserve">f portfolios and electoral outcomes affect </w:t>
      </w:r>
      <w:r w:rsidRPr="005E3083">
        <w:rPr>
          <w:rFonts w:ascii="Times New Roman" w:hAnsi="Times New Roman" w:cs="Times New Roman"/>
          <w:sz w:val="24"/>
          <w:szCs w:val="24"/>
        </w:rPr>
        <w:t>managerial incentives</w:t>
      </w:r>
      <w:r w:rsidR="00796064">
        <w:rPr>
          <w:rFonts w:ascii="Times New Roman" w:hAnsi="Times New Roman" w:cs="Times New Roman"/>
          <w:sz w:val="24"/>
          <w:szCs w:val="24"/>
        </w:rPr>
        <w:t xml:space="preserve">. </w:t>
      </w:r>
      <w:r w:rsidR="00886456">
        <w:rPr>
          <w:rFonts w:ascii="Times New Roman" w:hAnsi="Times New Roman" w:cs="Times New Roman"/>
          <w:sz w:val="24"/>
          <w:szCs w:val="24"/>
        </w:rPr>
        <w:t xml:space="preserve">  This inquiry </w:t>
      </w:r>
      <w:r w:rsidRPr="005E3083">
        <w:rPr>
          <w:rFonts w:ascii="Times New Roman" w:hAnsi="Times New Roman" w:cs="Times New Roman"/>
          <w:sz w:val="24"/>
          <w:szCs w:val="24"/>
        </w:rPr>
        <w:t xml:space="preserve">involves reference to the entire panoply of devices that the academic corporate </w:t>
      </w:r>
      <w:r w:rsidRPr="005E3083">
        <w:rPr>
          <w:rFonts w:ascii="Times New Roman" w:hAnsi="Times New Roman" w:cs="Times New Roman"/>
          <w:sz w:val="24"/>
          <w:szCs w:val="24"/>
        </w:rPr>
        <w:lastRenderedPageBreak/>
        <w:t>governance literature has identified as potential mechanisms directly or indirectly influencing managerial decision-making</w:t>
      </w:r>
      <w:r w:rsidR="00796064">
        <w:rPr>
          <w:rFonts w:ascii="Times New Roman" w:hAnsi="Times New Roman" w:cs="Times New Roman"/>
          <w:sz w:val="24"/>
          <w:szCs w:val="24"/>
        </w:rPr>
        <w:t xml:space="preserve">.  </w:t>
      </w:r>
    </w:p>
    <w:p w14:paraId="0C6A8017" w14:textId="4E6106BE" w:rsidR="00724085" w:rsidRDefault="009B682C" w:rsidP="009B682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The second question we seek to answer is normative</w:t>
      </w:r>
      <w:r w:rsidR="00724085">
        <w:rPr>
          <w:rFonts w:ascii="Times New Roman" w:hAnsi="Times New Roman" w:cs="Times New Roman"/>
          <w:sz w:val="24"/>
          <w:szCs w:val="24"/>
        </w:rPr>
        <w:t>.  Should</w:t>
      </w:r>
      <w:r>
        <w:rPr>
          <w:rFonts w:ascii="Times New Roman" w:hAnsi="Times New Roman" w:cs="Times New Roman"/>
          <w:sz w:val="24"/>
          <w:szCs w:val="24"/>
        </w:rPr>
        <w:t xml:space="preserve"> current governance arrangements </w:t>
      </w:r>
      <w:r w:rsidR="00724085">
        <w:rPr>
          <w:rFonts w:ascii="Times New Roman" w:hAnsi="Times New Roman" w:cs="Times New Roman"/>
          <w:sz w:val="24"/>
          <w:szCs w:val="24"/>
        </w:rPr>
        <w:t>b</w:t>
      </w:r>
      <w:r>
        <w:rPr>
          <w:rFonts w:ascii="Times New Roman" w:hAnsi="Times New Roman" w:cs="Times New Roman"/>
          <w:sz w:val="24"/>
          <w:szCs w:val="24"/>
        </w:rPr>
        <w:t xml:space="preserve">e </w:t>
      </w:r>
      <w:r w:rsidR="00724085">
        <w:rPr>
          <w:rFonts w:ascii="Times New Roman" w:hAnsi="Times New Roman" w:cs="Times New Roman"/>
          <w:sz w:val="24"/>
          <w:szCs w:val="24"/>
        </w:rPr>
        <w:t>altered</w:t>
      </w:r>
      <w:r>
        <w:rPr>
          <w:rFonts w:ascii="Times New Roman" w:hAnsi="Times New Roman" w:cs="Times New Roman"/>
          <w:sz w:val="24"/>
          <w:szCs w:val="24"/>
        </w:rPr>
        <w:t xml:space="preserve"> so that the preferences of those prepared to sacrifice share value maximization in favor of some other end lead to a greater modification in managerial behavior than what we think is occurring today</w:t>
      </w:r>
      <w:r w:rsidR="00724085">
        <w:rPr>
          <w:rFonts w:ascii="Times New Roman" w:hAnsi="Times New Roman" w:cs="Times New Roman"/>
          <w:sz w:val="24"/>
          <w:szCs w:val="24"/>
        </w:rPr>
        <w:t>?</w:t>
      </w:r>
      <w:r w:rsidR="00796064">
        <w:rPr>
          <w:rFonts w:ascii="Times New Roman" w:hAnsi="Times New Roman" w:cs="Times New Roman"/>
          <w:sz w:val="24"/>
          <w:szCs w:val="24"/>
        </w:rPr>
        <w:t xml:space="preserve"> </w:t>
      </w:r>
    </w:p>
    <w:p w14:paraId="30A17448" w14:textId="306D7590" w:rsidR="00D262FE" w:rsidRDefault="00724085" w:rsidP="009B682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9B682C">
        <w:rPr>
          <w:rFonts w:ascii="Times New Roman" w:hAnsi="Times New Roman" w:cs="Times New Roman"/>
          <w:sz w:val="24"/>
          <w:szCs w:val="24"/>
        </w:rPr>
        <w:t>In answering this second</w:t>
      </w:r>
      <w:r w:rsidR="00B60ECD">
        <w:rPr>
          <w:rFonts w:ascii="Times New Roman" w:hAnsi="Times New Roman" w:cs="Times New Roman"/>
          <w:sz w:val="24"/>
          <w:szCs w:val="24"/>
        </w:rPr>
        <w:t>, normative</w:t>
      </w:r>
      <w:r w:rsidR="009B682C">
        <w:rPr>
          <w:rFonts w:ascii="Times New Roman" w:hAnsi="Times New Roman" w:cs="Times New Roman"/>
          <w:sz w:val="24"/>
          <w:szCs w:val="24"/>
        </w:rPr>
        <w:t xml:space="preserve"> question, we do not start with any preconceptions that shareholders have certain inherent rights to shape the behavior of the corporations in which they invest</w:t>
      </w:r>
      <w:r w:rsidR="00796064">
        <w:rPr>
          <w:rFonts w:ascii="Times New Roman" w:hAnsi="Times New Roman" w:cs="Times New Roman"/>
          <w:sz w:val="24"/>
          <w:szCs w:val="24"/>
        </w:rPr>
        <w:t xml:space="preserve">. </w:t>
      </w:r>
      <w:r w:rsidR="00A85F58">
        <w:rPr>
          <w:rFonts w:ascii="Times New Roman" w:hAnsi="Times New Roman" w:cs="Times New Roman"/>
          <w:sz w:val="24"/>
          <w:szCs w:val="24"/>
        </w:rPr>
        <w:t xml:space="preserve"> </w:t>
      </w:r>
      <w:r w:rsidR="009B682C">
        <w:rPr>
          <w:rFonts w:ascii="Times New Roman" w:hAnsi="Times New Roman" w:cs="Times New Roman"/>
          <w:sz w:val="24"/>
          <w:szCs w:val="24"/>
        </w:rPr>
        <w:t xml:space="preserve">Established dispersed ownership corporations are major players in society’s decisions as to what products and services to produce, how they are produced, and who gets them, and as to how the gross revenues from the sale of their goods and services </w:t>
      </w:r>
      <w:r w:rsidR="00A85F58">
        <w:rPr>
          <w:rFonts w:ascii="Times New Roman" w:hAnsi="Times New Roman" w:cs="Times New Roman"/>
          <w:sz w:val="24"/>
          <w:szCs w:val="24"/>
        </w:rPr>
        <w:t>are</w:t>
      </w:r>
      <w:r w:rsidR="009B682C">
        <w:rPr>
          <w:rFonts w:ascii="Times New Roman" w:hAnsi="Times New Roman" w:cs="Times New Roman"/>
          <w:sz w:val="24"/>
          <w:szCs w:val="24"/>
        </w:rPr>
        <w:t xml:space="preserve"> split up among their employees, </w:t>
      </w:r>
      <w:r w:rsidR="00A85F58">
        <w:rPr>
          <w:rFonts w:ascii="Times New Roman" w:hAnsi="Times New Roman" w:cs="Times New Roman"/>
          <w:sz w:val="24"/>
          <w:szCs w:val="24"/>
        </w:rPr>
        <w:t xml:space="preserve">investors, and the suppliers of </w:t>
      </w:r>
      <w:r w:rsidR="009B682C">
        <w:rPr>
          <w:rFonts w:ascii="Times New Roman" w:hAnsi="Times New Roman" w:cs="Times New Roman"/>
          <w:sz w:val="24"/>
          <w:szCs w:val="24"/>
        </w:rPr>
        <w:t>other factors of production</w:t>
      </w:r>
      <w:r w:rsidR="00A85F58">
        <w:rPr>
          <w:rFonts w:ascii="Times New Roman" w:hAnsi="Times New Roman" w:cs="Times New Roman"/>
          <w:sz w:val="24"/>
          <w:szCs w:val="24"/>
        </w:rPr>
        <w:t>.</w:t>
      </w:r>
      <w:r w:rsidR="000D6CDC">
        <w:rPr>
          <w:rStyle w:val="FootnoteReference"/>
          <w:rFonts w:ascii="Times New Roman" w:hAnsi="Times New Roman" w:cs="Times New Roman"/>
          <w:sz w:val="24"/>
          <w:szCs w:val="24"/>
        </w:rPr>
        <w:footnoteReference w:id="13"/>
      </w:r>
      <w:r w:rsidR="009B682C">
        <w:rPr>
          <w:rFonts w:ascii="Times New Roman" w:hAnsi="Times New Roman" w:cs="Times New Roman"/>
          <w:sz w:val="24"/>
          <w:szCs w:val="24"/>
        </w:rPr>
        <w:t xml:space="preserve">  These decisions are shaped by both </w:t>
      </w:r>
      <w:r w:rsidR="00A85F58">
        <w:rPr>
          <w:rFonts w:ascii="Times New Roman" w:hAnsi="Times New Roman" w:cs="Times New Roman"/>
          <w:sz w:val="24"/>
          <w:szCs w:val="24"/>
        </w:rPr>
        <w:t xml:space="preserve">a variety of </w:t>
      </w:r>
      <w:r w:rsidR="009B682C">
        <w:rPr>
          <w:rFonts w:ascii="Times New Roman" w:hAnsi="Times New Roman" w:cs="Times New Roman"/>
          <w:sz w:val="24"/>
          <w:szCs w:val="24"/>
        </w:rPr>
        <w:t>market forces and the forces of governmental regulations, taxes</w:t>
      </w:r>
      <w:r w:rsidR="009A4E2D">
        <w:rPr>
          <w:rFonts w:ascii="Times New Roman" w:hAnsi="Times New Roman" w:cs="Times New Roman"/>
          <w:sz w:val="24"/>
          <w:szCs w:val="24"/>
        </w:rPr>
        <w:t xml:space="preserve">, </w:t>
      </w:r>
      <w:r w:rsidR="009B682C">
        <w:rPr>
          <w:rFonts w:ascii="Times New Roman" w:hAnsi="Times New Roman" w:cs="Times New Roman"/>
          <w:sz w:val="24"/>
          <w:szCs w:val="24"/>
        </w:rPr>
        <w:t>and subsidies explicitly keyed to a corporation’s behavior</w:t>
      </w:r>
      <w:r w:rsidR="00796064">
        <w:rPr>
          <w:rFonts w:ascii="Times New Roman" w:hAnsi="Times New Roman" w:cs="Times New Roman"/>
          <w:sz w:val="24"/>
          <w:szCs w:val="24"/>
        </w:rPr>
        <w:t xml:space="preserve">. </w:t>
      </w:r>
      <w:r w:rsidR="00A85F58">
        <w:rPr>
          <w:rFonts w:ascii="Times New Roman" w:hAnsi="Times New Roman" w:cs="Times New Roman"/>
          <w:sz w:val="24"/>
          <w:szCs w:val="24"/>
        </w:rPr>
        <w:t xml:space="preserve"> </w:t>
      </w:r>
      <w:r w:rsidR="009B682C">
        <w:rPr>
          <w:rFonts w:ascii="Times New Roman" w:hAnsi="Times New Roman" w:cs="Times New Roman"/>
          <w:sz w:val="24"/>
          <w:szCs w:val="24"/>
        </w:rPr>
        <w:t xml:space="preserve">What rights shareholders should have and how shareholder preferences should be accounted for need to be seen as operating within </w:t>
      </w:r>
      <w:r w:rsidR="00A85F58">
        <w:rPr>
          <w:rFonts w:ascii="Times New Roman" w:hAnsi="Times New Roman" w:cs="Times New Roman"/>
          <w:sz w:val="24"/>
          <w:szCs w:val="24"/>
        </w:rPr>
        <w:t xml:space="preserve">this larger </w:t>
      </w:r>
      <w:r w:rsidR="009B682C">
        <w:rPr>
          <w:rFonts w:ascii="Times New Roman" w:hAnsi="Times New Roman" w:cs="Times New Roman"/>
          <w:sz w:val="24"/>
          <w:szCs w:val="24"/>
        </w:rPr>
        <w:t xml:space="preserve">world </w:t>
      </w:r>
      <w:r w:rsidR="00A85F58">
        <w:rPr>
          <w:rFonts w:ascii="Times New Roman" w:hAnsi="Times New Roman" w:cs="Times New Roman"/>
          <w:sz w:val="24"/>
          <w:szCs w:val="24"/>
        </w:rPr>
        <w:t>of t</w:t>
      </w:r>
      <w:r w:rsidR="009B682C">
        <w:rPr>
          <w:rFonts w:ascii="Times New Roman" w:hAnsi="Times New Roman" w:cs="Times New Roman"/>
          <w:sz w:val="24"/>
          <w:szCs w:val="24"/>
        </w:rPr>
        <w:t>he</w:t>
      </w:r>
      <w:r w:rsidR="008A0153">
        <w:rPr>
          <w:rFonts w:ascii="Times New Roman" w:hAnsi="Times New Roman" w:cs="Times New Roman"/>
          <w:sz w:val="24"/>
          <w:szCs w:val="24"/>
        </w:rPr>
        <w:t xml:space="preserve"> forces </w:t>
      </w:r>
      <w:r w:rsidR="009B682C">
        <w:rPr>
          <w:rFonts w:ascii="Times New Roman" w:hAnsi="Times New Roman" w:cs="Times New Roman"/>
          <w:sz w:val="24"/>
          <w:szCs w:val="24"/>
        </w:rPr>
        <w:t xml:space="preserve">shaping </w:t>
      </w:r>
      <w:r w:rsidR="00610800">
        <w:rPr>
          <w:rFonts w:ascii="Times New Roman" w:hAnsi="Times New Roman" w:cs="Times New Roman"/>
          <w:sz w:val="24"/>
          <w:szCs w:val="24"/>
        </w:rPr>
        <w:t xml:space="preserve">a </w:t>
      </w:r>
      <w:r w:rsidR="008A0153">
        <w:rPr>
          <w:rFonts w:ascii="Times New Roman" w:hAnsi="Times New Roman" w:cs="Times New Roman"/>
          <w:sz w:val="24"/>
          <w:szCs w:val="24"/>
        </w:rPr>
        <w:t>corporation</w:t>
      </w:r>
      <w:r w:rsidR="00610800">
        <w:rPr>
          <w:rFonts w:ascii="Times New Roman" w:hAnsi="Times New Roman" w:cs="Times New Roman"/>
          <w:sz w:val="24"/>
          <w:szCs w:val="24"/>
        </w:rPr>
        <w:t>’</w:t>
      </w:r>
      <w:r w:rsidR="008A0153">
        <w:rPr>
          <w:rFonts w:ascii="Times New Roman" w:hAnsi="Times New Roman" w:cs="Times New Roman"/>
          <w:sz w:val="24"/>
          <w:szCs w:val="24"/>
        </w:rPr>
        <w:t xml:space="preserve">s behavior. </w:t>
      </w:r>
      <w:r w:rsidR="009B682C">
        <w:rPr>
          <w:rFonts w:ascii="Times New Roman" w:hAnsi="Times New Roman" w:cs="Times New Roman"/>
          <w:sz w:val="24"/>
          <w:szCs w:val="24"/>
        </w:rPr>
        <w:t xml:space="preserve">Specifying shareholder rights should be a purely instrumental exercise involving a determination of what </w:t>
      </w:r>
      <w:r w:rsidR="00610800">
        <w:rPr>
          <w:rFonts w:ascii="Times New Roman" w:hAnsi="Times New Roman" w:cs="Times New Roman"/>
          <w:sz w:val="24"/>
          <w:szCs w:val="24"/>
        </w:rPr>
        <w:t xml:space="preserve">arrangement </w:t>
      </w:r>
      <w:r w:rsidR="009B682C">
        <w:rPr>
          <w:rFonts w:ascii="Times New Roman" w:hAnsi="Times New Roman" w:cs="Times New Roman"/>
          <w:sz w:val="24"/>
          <w:szCs w:val="24"/>
        </w:rPr>
        <w:t xml:space="preserve">can be expected to lead to the socially most desirable outcomes. </w:t>
      </w:r>
      <w:r w:rsidR="00B60ECD">
        <w:rPr>
          <w:rFonts w:ascii="Times New Roman" w:hAnsi="Times New Roman" w:cs="Times New Roman"/>
          <w:sz w:val="24"/>
          <w:szCs w:val="24"/>
        </w:rPr>
        <w:t xml:space="preserve"> </w:t>
      </w:r>
    </w:p>
    <w:p w14:paraId="0B008928" w14:textId="00029F48" w:rsidR="009B682C" w:rsidRDefault="00D262FE" w:rsidP="009B682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C9708E">
        <w:rPr>
          <w:rFonts w:ascii="Times New Roman" w:hAnsi="Times New Roman" w:cs="Times New Roman"/>
          <w:sz w:val="24"/>
          <w:szCs w:val="24"/>
        </w:rPr>
        <w:t xml:space="preserve">Put another way, </w:t>
      </w:r>
      <w:r>
        <w:rPr>
          <w:rFonts w:ascii="Times New Roman" w:hAnsi="Times New Roman" w:cs="Times New Roman"/>
          <w:sz w:val="24"/>
          <w:szCs w:val="24"/>
        </w:rPr>
        <w:t>our normative inquiry goes to the fundamental question how various members of society participate in</w:t>
      </w:r>
      <w:r w:rsidR="008D3F65">
        <w:rPr>
          <w:rFonts w:ascii="Times New Roman" w:hAnsi="Times New Roman" w:cs="Times New Roman"/>
          <w:sz w:val="24"/>
          <w:szCs w:val="24"/>
        </w:rPr>
        <w:t xml:space="preserve"> the decisions that shape the behavior of the</w:t>
      </w:r>
      <w:r w:rsidR="00610800">
        <w:rPr>
          <w:rFonts w:ascii="Times New Roman" w:hAnsi="Times New Roman" w:cs="Times New Roman"/>
          <w:sz w:val="24"/>
          <w:szCs w:val="24"/>
        </w:rPr>
        <w:t xml:space="preserve"> type of corporations </w:t>
      </w:r>
      <w:r w:rsidR="00610800">
        <w:rPr>
          <w:rFonts w:ascii="Times New Roman" w:hAnsi="Times New Roman" w:cs="Times New Roman"/>
          <w:sz w:val="24"/>
          <w:szCs w:val="24"/>
        </w:rPr>
        <w:lastRenderedPageBreak/>
        <w:t xml:space="preserve">under study. </w:t>
      </w:r>
      <w:r w:rsidR="008D3F65">
        <w:rPr>
          <w:rFonts w:ascii="Times New Roman" w:hAnsi="Times New Roman" w:cs="Times New Roman"/>
          <w:sz w:val="24"/>
          <w:szCs w:val="24"/>
        </w:rPr>
        <w:t xml:space="preserve">Suppose </w:t>
      </w:r>
      <w:r w:rsidR="00C9708E">
        <w:rPr>
          <w:rFonts w:ascii="Times New Roman" w:hAnsi="Times New Roman" w:cs="Times New Roman"/>
          <w:sz w:val="24"/>
          <w:szCs w:val="24"/>
        </w:rPr>
        <w:t xml:space="preserve">some portion of </w:t>
      </w:r>
      <w:r w:rsidR="00B60ECD">
        <w:rPr>
          <w:rFonts w:ascii="Times New Roman" w:hAnsi="Times New Roman" w:cs="Times New Roman"/>
          <w:sz w:val="24"/>
          <w:szCs w:val="24"/>
        </w:rPr>
        <w:t xml:space="preserve">the economy’s equity </w:t>
      </w:r>
      <w:r w:rsidR="008D3F65">
        <w:rPr>
          <w:rFonts w:ascii="Times New Roman" w:hAnsi="Times New Roman" w:cs="Times New Roman"/>
          <w:sz w:val="24"/>
          <w:szCs w:val="24"/>
        </w:rPr>
        <w:t xml:space="preserve">investors </w:t>
      </w:r>
      <w:r w:rsidR="00C9708E">
        <w:rPr>
          <w:rFonts w:ascii="Times New Roman" w:hAnsi="Times New Roman" w:cs="Times New Roman"/>
          <w:sz w:val="24"/>
          <w:szCs w:val="24"/>
        </w:rPr>
        <w:t>prefer</w:t>
      </w:r>
      <w:r w:rsidR="008D3F65">
        <w:rPr>
          <w:rFonts w:ascii="Times New Roman" w:hAnsi="Times New Roman" w:cs="Times New Roman"/>
          <w:sz w:val="24"/>
          <w:szCs w:val="24"/>
        </w:rPr>
        <w:t>s</w:t>
      </w:r>
      <w:r w:rsidR="00C9708E">
        <w:rPr>
          <w:rFonts w:ascii="Times New Roman" w:hAnsi="Times New Roman" w:cs="Times New Roman"/>
          <w:sz w:val="24"/>
          <w:szCs w:val="24"/>
        </w:rPr>
        <w:t xml:space="preserve"> </w:t>
      </w:r>
      <w:r w:rsidR="008D3F65">
        <w:rPr>
          <w:rFonts w:ascii="Times New Roman" w:hAnsi="Times New Roman" w:cs="Times New Roman"/>
          <w:sz w:val="24"/>
          <w:szCs w:val="24"/>
        </w:rPr>
        <w:t xml:space="preserve">that </w:t>
      </w:r>
      <w:r w:rsidR="00C9708E">
        <w:rPr>
          <w:rFonts w:ascii="Times New Roman" w:hAnsi="Times New Roman" w:cs="Times New Roman"/>
          <w:sz w:val="24"/>
          <w:szCs w:val="24"/>
        </w:rPr>
        <w:t xml:space="preserve">a given corporation </w:t>
      </w:r>
      <w:r w:rsidR="00B60ECD">
        <w:rPr>
          <w:rFonts w:ascii="Times New Roman" w:hAnsi="Times New Roman" w:cs="Times New Roman"/>
          <w:sz w:val="24"/>
          <w:szCs w:val="24"/>
        </w:rPr>
        <w:t>act</w:t>
      </w:r>
      <w:r w:rsidR="00C9708E">
        <w:rPr>
          <w:rFonts w:ascii="Times New Roman" w:hAnsi="Times New Roman" w:cs="Times New Roman"/>
          <w:sz w:val="24"/>
          <w:szCs w:val="24"/>
        </w:rPr>
        <w:t xml:space="preserve"> in some profit-sacrificing way.  </w:t>
      </w:r>
      <w:r>
        <w:rPr>
          <w:rFonts w:ascii="Times New Roman" w:hAnsi="Times New Roman" w:cs="Times New Roman"/>
          <w:sz w:val="24"/>
          <w:szCs w:val="24"/>
        </w:rPr>
        <w:t>The</w:t>
      </w:r>
      <w:r w:rsidR="008D3F65">
        <w:rPr>
          <w:rFonts w:ascii="Times New Roman" w:hAnsi="Times New Roman" w:cs="Times New Roman"/>
          <w:sz w:val="24"/>
          <w:szCs w:val="24"/>
        </w:rPr>
        <w:t>se investors</w:t>
      </w:r>
      <w:r>
        <w:rPr>
          <w:rFonts w:ascii="Times New Roman" w:hAnsi="Times New Roman" w:cs="Times New Roman"/>
          <w:sz w:val="24"/>
          <w:szCs w:val="24"/>
        </w:rPr>
        <w:t xml:space="preserve"> clearly can act on th</w:t>
      </w:r>
      <w:r w:rsidR="008D3F65">
        <w:rPr>
          <w:rFonts w:ascii="Times New Roman" w:hAnsi="Times New Roman" w:cs="Times New Roman"/>
          <w:sz w:val="24"/>
          <w:szCs w:val="24"/>
        </w:rPr>
        <w:t xml:space="preserve">is </w:t>
      </w:r>
      <w:r>
        <w:rPr>
          <w:rFonts w:ascii="Times New Roman" w:hAnsi="Times New Roman" w:cs="Times New Roman"/>
          <w:sz w:val="24"/>
          <w:szCs w:val="24"/>
        </w:rPr>
        <w:t xml:space="preserve">preference through their participation in the </w:t>
      </w:r>
      <w:r w:rsidR="00610800">
        <w:rPr>
          <w:rFonts w:ascii="Times New Roman" w:hAnsi="Times New Roman" w:cs="Times New Roman"/>
          <w:sz w:val="24"/>
          <w:szCs w:val="24"/>
        </w:rPr>
        <w:t xml:space="preserve">governmental </w:t>
      </w:r>
      <w:r>
        <w:rPr>
          <w:rFonts w:ascii="Times New Roman" w:hAnsi="Times New Roman" w:cs="Times New Roman"/>
          <w:sz w:val="24"/>
          <w:szCs w:val="24"/>
        </w:rPr>
        <w:t xml:space="preserve">political process.  They may also have some influence </w:t>
      </w:r>
      <w:r w:rsidR="008D3F65">
        <w:rPr>
          <w:rFonts w:ascii="Times New Roman" w:hAnsi="Times New Roman" w:cs="Times New Roman"/>
          <w:sz w:val="24"/>
          <w:szCs w:val="24"/>
        </w:rPr>
        <w:t xml:space="preserve">on the corporation’s behavior </w:t>
      </w:r>
      <w:r>
        <w:rPr>
          <w:rFonts w:ascii="Times New Roman" w:hAnsi="Times New Roman" w:cs="Times New Roman"/>
          <w:sz w:val="24"/>
          <w:szCs w:val="24"/>
        </w:rPr>
        <w:t xml:space="preserve">by simply </w:t>
      </w:r>
      <w:r w:rsidR="008A0153">
        <w:rPr>
          <w:rFonts w:ascii="Times New Roman" w:hAnsi="Times New Roman" w:cs="Times New Roman"/>
          <w:sz w:val="24"/>
          <w:szCs w:val="24"/>
        </w:rPr>
        <w:t>not being equity investors in that corporation.</w:t>
      </w:r>
      <w:r w:rsidR="00610800">
        <w:rPr>
          <w:rStyle w:val="FootnoteReference"/>
          <w:rFonts w:ascii="Times New Roman" w:hAnsi="Times New Roman" w:cs="Times New Roman"/>
          <w:sz w:val="24"/>
          <w:szCs w:val="24"/>
        </w:rPr>
        <w:footnoteReference w:id="14"/>
      </w:r>
      <w:r w:rsidR="008A0153">
        <w:rPr>
          <w:rFonts w:ascii="Times New Roman" w:hAnsi="Times New Roman" w:cs="Times New Roman"/>
          <w:sz w:val="24"/>
          <w:szCs w:val="24"/>
        </w:rPr>
        <w:t xml:space="preserve"> </w:t>
      </w:r>
      <w:r>
        <w:rPr>
          <w:rFonts w:ascii="Times New Roman" w:hAnsi="Times New Roman" w:cs="Times New Roman"/>
          <w:sz w:val="24"/>
          <w:szCs w:val="24"/>
        </w:rPr>
        <w:t xml:space="preserve"> The </w:t>
      </w:r>
      <w:r w:rsidR="00610800">
        <w:rPr>
          <w:rFonts w:ascii="Times New Roman" w:hAnsi="Times New Roman" w:cs="Times New Roman"/>
          <w:sz w:val="24"/>
          <w:szCs w:val="24"/>
        </w:rPr>
        <w:t xml:space="preserve">normative </w:t>
      </w:r>
      <w:r>
        <w:rPr>
          <w:rFonts w:ascii="Times New Roman" w:hAnsi="Times New Roman" w:cs="Times New Roman"/>
          <w:sz w:val="24"/>
          <w:szCs w:val="24"/>
        </w:rPr>
        <w:t xml:space="preserve">question </w:t>
      </w:r>
      <w:r w:rsidR="00610800">
        <w:rPr>
          <w:rFonts w:ascii="Times New Roman" w:hAnsi="Times New Roman" w:cs="Times New Roman"/>
          <w:sz w:val="24"/>
          <w:szCs w:val="24"/>
        </w:rPr>
        <w:t xml:space="preserve">addressed in this paper </w:t>
      </w:r>
      <w:r w:rsidR="008D3F65">
        <w:rPr>
          <w:rFonts w:ascii="Times New Roman" w:hAnsi="Times New Roman" w:cs="Times New Roman"/>
          <w:sz w:val="24"/>
          <w:szCs w:val="24"/>
        </w:rPr>
        <w:t xml:space="preserve">is whether in addition, for those </w:t>
      </w:r>
      <w:r w:rsidR="001F64A7">
        <w:rPr>
          <w:rFonts w:ascii="Times New Roman" w:hAnsi="Times New Roman" w:cs="Times New Roman"/>
          <w:sz w:val="24"/>
          <w:szCs w:val="24"/>
        </w:rPr>
        <w:t>of this set of the economy’s equity investors who</w:t>
      </w:r>
      <w:r w:rsidR="00610800">
        <w:rPr>
          <w:rFonts w:ascii="Times New Roman" w:hAnsi="Times New Roman" w:cs="Times New Roman"/>
          <w:sz w:val="24"/>
          <w:szCs w:val="24"/>
        </w:rPr>
        <w:t xml:space="preserve">, directly or indirectly, </w:t>
      </w:r>
      <w:r w:rsidR="001F64A7">
        <w:rPr>
          <w:rFonts w:ascii="Times New Roman" w:hAnsi="Times New Roman" w:cs="Times New Roman"/>
          <w:sz w:val="24"/>
          <w:szCs w:val="24"/>
        </w:rPr>
        <w:t xml:space="preserve">actually hold </w:t>
      </w:r>
      <w:r w:rsidR="00610800">
        <w:rPr>
          <w:rFonts w:ascii="Times New Roman" w:hAnsi="Times New Roman" w:cs="Times New Roman"/>
          <w:sz w:val="24"/>
          <w:szCs w:val="24"/>
        </w:rPr>
        <w:t xml:space="preserve">shares in </w:t>
      </w:r>
      <w:r w:rsidR="001F64A7">
        <w:rPr>
          <w:rFonts w:ascii="Times New Roman" w:hAnsi="Times New Roman" w:cs="Times New Roman"/>
          <w:sz w:val="24"/>
          <w:szCs w:val="24"/>
        </w:rPr>
        <w:t xml:space="preserve">this corporation, </w:t>
      </w:r>
      <w:r w:rsidR="008D3F65">
        <w:rPr>
          <w:rFonts w:ascii="Times New Roman" w:hAnsi="Times New Roman" w:cs="Times New Roman"/>
          <w:sz w:val="24"/>
          <w:szCs w:val="24"/>
        </w:rPr>
        <w:t xml:space="preserve">existing corporate governance arrangements </w:t>
      </w:r>
      <w:r w:rsidR="001F64A7">
        <w:rPr>
          <w:rFonts w:ascii="Times New Roman" w:hAnsi="Times New Roman" w:cs="Times New Roman"/>
          <w:sz w:val="24"/>
          <w:szCs w:val="24"/>
        </w:rPr>
        <w:t xml:space="preserve">should </w:t>
      </w:r>
      <w:r w:rsidR="008D3F65">
        <w:rPr>
          <w:rFonts w:ascii="Times New Roman" w:hAnsi="Times New Roman" w:cs="Times New Roman"/>
          <w:sz w:val="24"/>
          <w:szCs w:val="24"/>
        </w:rPr>
        <w:t xml:space="preserve">be modified so that </w:t>
      </w:r>
      <w:r w:rsidR="001F64A7">
        <w:rPr>
          <w:rFonts w:ascii="Times New Roman" w:hAnsi="Times New Roman" w:cs="Times New Roman"/>
          <w:sz w:val="24"/>
          <w:szCs w:val="24"/>
        </w:rPr>
        <w:t xml:space="preserve">it is more likely that </w:t>
      </w:r>
      <w:r w:rsidR="008D3F65">
        <w:rPr>
          <w:rFonts w:ascii="Times New Roman" w:hAnsi="Times New Roman" w:cs="Times New Roman"/>
          <w:sz w:val="24"/>
          <w:szCs w:val="24"/>
        </w:rPr>
        <w:t xml:space="preserve">the </w:t>
      </w:r>
      <w:r w:rsidR="001F64A7">
        <w:rPr>
          <w:rFonts w:ascii="Times New Roman" w:hAnsi="Times New Roman" w:cs="Times New Roman"/>
          <w:sz w:val="24"/>
          <w:szCs w:val="24"/>
        </w:rPr>
        <w:t xml:space="preserve">corporation’s behavior is more likely to be changed via the </w:t>
      </w:r>
      <w:r w:rsidR="008D3F65">
        <w:rPr>
          <w:rFonts w:ascii="Times New Roman" w:hAnsi="Times New Roman" w:cs="Times New Roman"/>
          <w:sz w:val="24"/>
          <w:szCs w:val="24"/>
        </w:rPr>
        <w:t xml:space="preserve">corporate franchise as well. </w:t>
      </w:r>
    </w:p>
    <w:p w14:paraId="2E9A6CF8" w14:textId="379EA220" w:rsidR="009B682C" w:rsidRPr="005E3083" w:rsidRDefault="009B682C" w:rsidP="009B682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It is </w:t>
      </w:r>
      <w:r w:rsidR="003A47C8">
        <w:rPr>
          <w:rFonts w:ascii="Times New Roman" w:hAnsi="Times New Roman" w:cs="Times New Roman"/>
          <w:sz w:val="24"/>
          <w:szCs w:val="24"/>
        </w:rPr>
        <w:t>helpful</w:t>
      </w:r>
      <w:r>
        <w:rPr>
          <w:rFonts w:ascii="Times New Roman" w:hAnsi="Times New Roman" w:cs="Times New Roman"/>
          <w:sz w:val="24"/>
          <w:szCs w:val="24"/>
        </w:rPr>
        <w:t xml:space="preserve"> at the outset to identify the outer bounds of our efforts here. </w:t>
      </w:r>
      <w:r w:rsidR="000D6CDC">
        <w:rPr>
          <w:rFonts w:ascii="Times New Roman" w:hAnsi="Times New Roman" w:cs="Times New Roman"/>
          <w:sz w:val="24"/>
          <w:szCs w:val="24"/>
        </w:rPr>
        <w:t xml:space="preserve">We confine our analysis throughout to the current arrangement in which a corporation’s shareholders, and its shareholders alone, are the ones who elect its board of directors. While some scholars have advanced </w:t>
      </w:r>
      <w:r w:rsidRPr="00C345C3">
        <w:rPr>
          <w:rFonts w:ascii="Times New Roman" w:hAnsi="Times New Roman" w:cs="Times New Roman"/>
          <w:sz w:val="24"/>
          <w:szCs w:val="24"/>
        </w:rPr>
        <w:t xml:space="preserve">proposals </w:t>
      </w:r>
      <w:r w:rsidR="000D6CDC">
        <w:rPr>
          <w:rFonts w:ascii="Times New Roman" w:hAnsi="Times New Roman" w:cs="Times New Roman"/>
          <w:sz w:val="24"/>
          <w:szCs w:val="24"/>
        </w:rPr>
        <w:t>that would</w:t>
      </w:r>
      <w:r w:rsidR="000D6CDC" w:rsidRPr="00C345C3">
        <w:rPr>
          <w:rFonts w:ascii="Times New Roman" w:hAnsi="Times New Roman" w:cs="Times New Roman"/>
          <w:sz w:val="24"/>
          <w:szCs w:val="24"/>
        </w:rPr>
        <w:t xml:space="preserve"> </w:t>
      </w:r>
      <w:r w:rsidRPr="00C345C3">
        <w:rPr>
          <w:rFonts w:ascii="Times New Roman" w:hAnsi="Times New Roman" w:cs="Times New Roman"/>
          <w:sz w:val="24"/>
          <w:szCs w:val="24"/>
        </w:rPr>
        <w:t>expand the</w:t>
      </w:r>
      <w:r w:rsidRPr="00C9794B">
        <w:rPr>
          <w:rFonts w:ascii="Times New Roman" w:hAnsi="Times New Roman" w:cs="Times New Roman"/>
          <w:sz w:val="24"/>
          <w:szCs w:val="24"/>
        </w:rPr>
        <w:t xml:space="preserve"> franchise so that other stakeholders have a role in choosing management</w:t>
      </w:r>
      <w:r w:rsidR="000D6CDC">
        <w:rPr>
          <w:rFonts w:ascii="Times New Roman" w:hAnsi="Times New Roman" w:cs="Times New Roman"/>
          <w:sz w:val="24"/>
          <w:szCs w:val="24"/>
        </w:rPr>
        <w:t>,</w:t>
      </w:r>
      <w:bookmarkStart w:id="4" w:name="_Ref180748001"/>
      <w:r w:rsidRPr="00C9794B">
        <w:rPr>
          <w:rStyle w:val="FootnoteReference"/>
          <w:rFonts w:ascii="Times New Roman" w:hAnsi="Times New Roman" w:cs="Times New Roman"/>
          <w:sz w:val="24"/>
          <w:szCs w:val="24"/>
        </w:rPr>
        <w:footnoteReference w:id="15"/>
      </w:r>
      <w:bookmarkEnd w:id="4"/>
      <w:r w:rsidR="000D6CDC">
        <w:rPr>
          <w:rFonts w:ascii="Times New Roman" w:hAnsi="Times New Roman" w:cs="Times New Roman"/>
          <w:sz w:val="24"/>
          <w:szCs w:val="24"/>
        </w:rPr>
        <w:t xml:space="preserve"> we do not address that circumstance here.</w:t>
      </w:r>
      <w:r w:rsidRPr="00C9794B">
        <w:rPr>
          <w:rFonts w:ascii="Times New Roman" w:hAnsi="Times New Roman" w:cs="Times New Roman"/>
          <w:sz w:val="24"/>
          <w:szCs w:val="24"/>
        </w:rPr>
        <w:t xml:space="preserve">  </w:t>
      </w:r>
      <w:r w:rsidR="00162101">
        <w:rPr>
          <w:rFonts w:ascii="Times New Roman" w:hAnsi="Times New Roman" w:cs="Times New Roman"/>
          <w:sz w:val="24"/>
          <w:szCs w:val="24"/>
        </w:rPr>
        <w:t xml:space="preserve">These proposals involve </w:t>
      </w:r>
      <w:r w:rsidRPr="00C9794B">
        <w:rPr>
          <w:rFonts w:ascii="Times New Roman" w:hAnsi="Times New Roman" w:cs="Times New Roman"/>
          <w:sz w:val="24"/>
          <w:szCs w:val="24"/>
        </w:rPr>
        <w:t xml:space="preserve">an entirely different project about which this </w:t>
      </w:r>
      <w:r w:rsidR="00162101">
        <w:rPr>
          <w:rFonts w:ascii="Times New Roman" w:hAnsi="Times New Roman" w:cs="Times New Roman"/>
          <w:sz w:val="24"/>
          <w:szCs w:val="24"/>
        </w:rPr>
        <w:t>paper</w:t>
      </w:r>
      <w:r w:rsidRPr="00C9794B">
        <w:rPr>
          <w:rFonts w:ascii="Times New Roman" w:hAnsi="Times New Roman" w:cs="Times New Roman"/>
          <w:sz w:val="24"/>
          <w:szCs w:val="24"/>
        </w:rPr>
        <w:t xml:space="preserve"> has little to say other than to note that in any arrangement where investors </w:t>
      </w:r>
      <w:r w:rsidR="000C0F59">
        <w:rPr>
          <w:rFonts w:ascii="Times New Roman" w:hAnsi="Times New Roman" w:cs="Times New Roman"/>
          <w:sz w:val="24"/>
          <w:szCs w:val="24"/>
        </w:rPr>
        <w:t xml:space="preserve">remain as at least one class of </w:t>
      </w:r>
      <w:r w:rsidRPr="00C9794B">
        <w:rPr>
          <w:rFonts w:ascii="Times New Roman" w:hAnsi="Times New Roman" w:cs="Times New Roman"/>
          <w:sz w:val="24"/>
          <w:szCs w:val="24"/>
        </w:rPr>
        <w:t>residual claimants, they need control rights in order to protect against being taking advantage</w:t>
      </w:r>
      <w:r w:rsidR="001F64A7">
        <w:rPr>
          <w:rFonts w:ascii="Times New Roman" w:hAnsi="Times New Roman" w:cs="Times New Roman"/>
          <w:sz w:val="24"/>
          <w:szCs w:val="24"/>
        </w:rPr>
        <w:t xml:space="preserve">. </w:t>
      </w:r>
      <w:r w:rsidR="00162101">
        <w:rPr>
          <w:rFonts w:ascii="Times New Roman" w:hAnsi="Times New Roman" w:cs="Times New Roman"/>
          <w:sz w:val="24"/>
          <w:szCs w:val="24"/>
        </w:rPr>
        <w:t xml:space="preserve"> E</w:t>
      </w:r>
      <w:r w:rsidRPr="00C9794B">
        <w:rPr>
          <w:rFonts w:ascii="Times New Roman" w:hAnsi="Times New Roman" w:cs="Times New Roman"/>
          <w:sz w:val="24"/>
          <w:szCs w:val="24"/>
        </w:rPr>
        <w:t>nterprises with multiple classes of residual claimants with control rights have been viewed by some eminent scholars as tending to have high governance costs.</w:t>
      </w:r>
      <w:bookmarkStart w:id="5" w:name="_Ref178624690"/>
      <w:r w:rsidRPr="00C9794B">
        <w:rPr>
          <w:rStyle w:val="FootnoteReference"/>
          <w:rFonts w:ascii="Times New Roman" w:hAnsi="Times New Roman" w:cs="Times New Roman"/>
          <w:sz w:val="24"/>
          <w:szCs w:val="24"/>
        </w:rPr>
        <w:footnoteReference w:id="16"/>
      </w:r>
      <w:bookmarkEnd w:id="5"/>
      <w:r>
        <w:rPr>
          <w:rFonts w:ascii="Times New Roman" w:hAnsi="Times New Roman" w:cs="Times New Roman"/>
          <w:sz w:val="24"/>
          <w:szCs w:val="24"/>
        </w:rPr>
        <w:t xml:space="preserve"> </w:t>
      </w:r>
    </w:p>
    <w:p w14:paraId="75532ABA" w14:textId="5798F34B" w:rsidR="009B682C" w:rsidRPr="005E3083" w:rsidRDefault="009B682C" w:rsidP="009B682C">
      <w:pPr>
        <w:spacing w:after="0" w:line="480" w:lineRule="auto"/>
        <w:jc w:val="both"/>
        <w:rPr>
          <w:rFonts w:ascii="Times New Roman" w:hAnsi="Times New Roman" w:cs="Times New Roman"/>
          <w:sz w:val="24"/>
          <w:szCs w:val="24"/>
        </w:rPr>
      </w:pPr>
      <w:r w:rsidRPr="005E3083">
        <w:rPr>
          <w:rFonts w:ascii="Times New Roman" w:hAnsi="Times New Roman" w:cs="Times New Roman"/>
          <w:sz w:val="24"/>
          <w:szCs w:val="24"/>
        </w:rPr>
        <w:tab/>
      </w:r>
      <w:r>
        <w:rPr>
          <w:rFonts w:ascii="Times New Roman" w:hAnsi="Times New Roman" w:cs="Times New Roman"/>
          <w:sz w:val="24"/>
          <w:szCs w:val="24"/>
        </w:rPr>
        <w:t xml:space="preserve">Part I of this </w:t>
      </w:r>
      <w:r w:rsidR="00D2644F">
        <w:rPr>
          <w:rFonts w:ascii="Times New Roman" w:hAnsi="Times New Roman" w:cs="Times New Roman"/>
          <w:sz w:val="24"/>
          <w:szCs w:val="24"/>
        </w:rPr>
        <w:t>article</w:t>
      </w:r>
      <w:r>
        <w:rPr>
          <w:rFonts w:ascii="Times New Roman" w:hAnsi="Times New Roman" w:cs="Times New Roman"/>
          <w:sz w:val="24"/>
          <w:szCs w:val="24"/>
        </w:rPr>
        <w:t xml:space="preserve"> starts with the observation that a</w:t>
      </w:r>
      <w:r w:rsidRPr="005E3083">
        <w:rPr>
          <w:rFonts w:ascii="Times New Roman" w:hAnsi="Times New Roman" w:cs="Times New Roman"/>
          <w:sz w:val="24"/>
          <w:szCs w:val="24"/>
        </w:rPr>
        <w:t xml:space="preserve">ll </w:t>
      </w:r>
      <w:r>
        <w:rPr>
          <w:rFonts w:ascii="Times New Roman" w:hAnsi="Times New Roman" w:cs="Times New Roman"/>
          <w:sz w:val="24"/>
          <w:szCs w:val="24"/>
        </w:rPr>
        <w:t xml:space="preserve">equity </w:t>
      </w:r>
      <w:r w:rsidRPr="005E3083">
        <w:rPr>
          <w:rFonts w:ascii="Times New Roman" w:hAnsi="Times New Roman" w:cs="Times New Roman"/>
          <w:sz w:val="24"/>
          <w:szCs w:val="24"/>
        </w:rPr>
        <w:t>investors</w:t>
      </w:r>
      <w:r>
        <w:rPr>
          <w:rFonts w:ascii="Times New Roman" w:hAnsi="Times New Roman" w:cs="Times New Roman"/>
          <w:sz w:val="24"/>
          <w:szCs w:val="24"/>
        </w:rPr>
        <w:t xml:space="preserve"> prefer, everything else being equal,</w:t>
      </w:r>
      <w:r w:rsidRPr="005E3083">
        <w:rPr>
          <w:rFonts w:ascii="Times New Roman" w:hAnsi="Times New Roman" w:cs="Times New Roman"/>
          <w:sz w:val="24"/>
          <w:szCs w:val="24"/>
        </w:rPr>
        <w:t xml:space="preserve"> that the corporations </w:t>
      </w:r>
      <w:r>
        <w:rPr>
          <w:rFonts w:ascii="Times New Roman" w:hAnsi="Times New Roman" w:cs="Times New Roman"/>
          <w:sz w:val="24"/>
          <w:szCs w:val="24"/>
        </w:rPr>
        <w:t>whose shares they hold</w:t>
      </w:r>
      <w:r w:rsidRPr="005E3083">
        <w:rPr>
          <w:rFonts w:ascii="Times New Roman" w:hAnsi="Times New Roman" w:cs="Times New Roman"/>
          <w:sz w:val="24"/>
          <w:szCs w:val="24"/>
        </w:rPr>
        <w:t xml:space="preserve"> behave in the ways that leads </w:t>
      </w:r>
      <w:r>
        <w:rPr>
          <w:rFonts w:ascii="Times New Roman" w:hAnsi="Times New Roman" w:cs="Times New Roman"/>
          <w:sz w:val="24"/>
          <w:szCs w:val="24"/>
        </w:rPr>
        <w:t xml:space="preserve">these </w:t>
      </w:r>
      <w:r>
        <w:rPr>
          <w:rFonts w:ascii="Times New Roman" w:hAnsi="Times New Roman" w:cs="Times New Roman"/>
          <w:sz w:val="24"/>
          <w:szCs w:val="24"/>
        </w:rPr>
        <w:lastRenderedPageBreak/>
        <w:t xml:space="preserve">corporations </w:t>
      </w:r>
      <w:r w:rsidRPr="005E3083">
        <w:rPr>
          <w:rFonts w:ascii="Times New Roman" w:hAnsi="Times New Roman" w:cs="Times New Roman"/>
          <w:sz w:val="24"/>
          <w:szCs w:val="24"/>
        </w:rPr>
        <w:t>to have higher share value</w:t>
      </w:r>
      <w:r>
        <w:rPr>
          <w:rFonts w:ascii="Times New Roman" w:hAnsi="Times New Roman" w:cs="Times New Roman"/>
          <w:sz w:val="24"/>
          <w:szCs w:val="24"/>
        </w:rPr>
        <w:t>s</w:t>
      </w:r>
      <w:r w:rsidRPr="005E3083">
        <w:rPr>
          <w:rFonts w:ascii="Times New Roman" w:hAnsi="Times New Roman" w:cs="Times New Roman"/>
          <w:sz w:val="24"/>
          <w:szCs w:val="24"/>
        </w:rPr>
        <w:t xml:space="preserve"> rather than lower one</w:t>
      </w:r>
      <w:r>
        <w:rPr>
          <w:rFonts w:ascii="Times New Roman" w:hAnsi="Times New Roman" w:cs="Times New Roman"/>
          <w:sz w:val="24"/>
          <w:szCs w:val="24"/>
        </w:rPr>
        <w:t>s</w:t>
      </w:r>
      <w:r w:rsidR="00162101">
        <w:rPr>
          <w:rFonts w:ascii="Times New Roman" w:hAnsi="Times New Roman" w:cs="Times New Roman"/>
          <w:sz w:val="24"/>
          <w:szCs w:val="24"/>
        </w:rPr>
        <w:t>.  E</w:t>
      </w:r>
      <w:r w:rsidRPr="005E3083">
        <w:rPr>
          <w:rFonts w:ascii="Times New Roman" w:hAnsi="Times New Roman" w:cs="Times New Roman"/>
          <w:sz w:val="24"/>
          <w:szCs w:val="24"/>
        </w:rPr>
        <w:t>verything is not necessarily always equal</w:t>
      </w:r>
      <w:r w:rsidR="00162101">
        <w:rPr>
          <w:rFonts w:ascii="Times New Roman" w:hAnsi="Times New Roman" w:cs="Times New Roman"/>
          <w:sz w:val="24"/>
          <w:szCs w:val="24"/>
        </w:rPr>
        <w:t>, however</w:t>
      </w:r>
      <w:r w:rsidR="00796064">
        <w:rPr>
          <w:rFonts w:ascii="Times New Roman" w:hAnsi="Times New Roman" w:cs="Times New Roman"/>
          <w:sz w:val="24"/>
          <w:szCs w:val="24"/>
        </w:rPr>
        <w:t xml:space="preserve">. </w:t>
      </w:r>
      <w:r>
        <w:rPr>
          <w:rFonts w:ascii="Times New Roman" w:hAnsi="Times New Roman" w:cs="Times New Roman"/>
          <w:sz w:val="24"/>
          <w:szCs w:val="24"/>
        </w:rPr>
        <w:t>Thus</w:t>
      </w:r>
      <w:r w:rsidR="00D2644F">
        <w:rPr>
          <w:rFonts w:ascii="Times New Roman" w:hAnsi="Times New Roman" w:cs="Times New Roman"/>
          <w:sz w:val="24"/>
          <w:szCs w:val="24"/>
        </w:rPr>
        <w:t>,</w:t>
      </w:r>
      <w:r>
        <w:rPr>
          <w:rFonts w:ascii="Times New Roman" w:hAnsi="Times New Roman" w:cs="Times New Roman"/>
          <w:sz w:val="24"/>
          <w:szCs w:val="24"/>
        </w:rPr>
        <w:t xml:space="preserve"> any given investor in a particular corporation may prefer that it behave in a way that, despite reducing share value, furthers some other end</w:t>
      </w:r>
      <w:r w:rsidR="00796064">
        <w:rPr>
          <w:rFonts w:ascii="Times New Roman" w:hAnsi="Times New Roman" w:cs="Times New Roman"/>
          <w:sz w:val="24"/>
          <w:szCs w:val="24"/>
        </w:rPr>
        <w:t xml:space="preserve">. </w:t>
      </w:r>
      <w:r w:rsidRPr="005E3083">
        <w:rPr>
          <w:rFonts w:ascii="Times New Roman" w:hAnsi="Times New Roman" w:cs="Times New Roman"/>
          <w:sz w:val="24"/>
          <w:szCs w:val="24"/>
        </w:rPr>
        <w:t>Part I describe</w:t>
      </w:r>
      <w:r w:rsidR="00162101">
        <w:rPr>
          <w:rFonts w:ascii="Times New Roman" w:hAnsi="Times New Roman" w:cs="Times New Roman"/>
          <w:sz w:val="24"/>
          <w:szCs w:val="24"/>
        </w:rPr>
        <w:t>s</w:t>
      </w:r>
      <w:r w:rsidRPr="005E3083">
        <w:rPr>
          <w:rFonts w:ascii="Times New Roman" w:hAnsi="Times New Roman" w:cs="Times New Roman"/>
          <w:sz w:val="24"/>
          <w:szCs w:val="24"/>
        </w:rPr>
        <w:t xml:space="preserve"> th</w:t>
      </w:r>
      <w:r>
        <w:rPr>
          <w:rFonts w:ascii="Times New Roman" w:hAnsi="Times New Roman" w:cs="Times New Roman"/>
          <w:sz w:val="24"/>
          <w:szCs w:val="24"/>
        </w:rPr>
        <w:t>re</w:t>
      </w:r>
      <w:r w:rsidRPr="005E3083">
        <w:rPr>
          <w:rFonts w:ascii="Times New Roman" w:hAnsi="Times New Roman" w:cs="Times New Roman"/>
          <w:sz w:val="24"/>
          <w:szCs w:val="24"/>
        </w:rPr>
        <w:t>e different</w:t>
      </w:r>
      <w:r>
        <w:rPr>
          <w:rFonts w:ascii="Times New Roman" w:hAnsi="Times New Roman" w:cs="Times New Roman"/>
          <w:sz w:val="24"/>
          <w:szCs w:val="24"/>
        </w:rPr>
        <w:t xml:space="preserve">, not necessarily mutually exclusive, </w:t>
      </w:r>
      <w:r w:rsidRPr="005E3083">
        <w:rPr>
          <w:rFonts w:ascii="Times New Roman" w:hAnsi="Times New Roman" w:cs="Times New Roman"/>
          <w:sz w:val="24"/>
          <w:szCs w:val="24"/>
        </w:rPr>
        <w:t xml:space="preserve">kinds of </w:t>
      </w:r>
      <w:r>
        <w:rPr>
          <w:rFonts w:ascii="Times New Roman" w:hAnsi="Times New Roman" w:cs="Times New Roman"/>
          <w:sz w:val="24"/>
          <w:szCs w:val="24"/>
        </w:rPr>
        <w:t xml:space="preserve">ends for which some of a firm’s shareholders might be willing to sacrifice share value. </w:t>
      </w:r>
      <w:r w:rsidR="00162101">
        <w:rPr>
          <w:rFonts w:ascii="Times New Roman" w:hAnsi="Times New Roman" w:cs="Times New Roman"/>
          <w:sz w:val="24"/>
          <w:szCs w:val="24"/>
        </w:rPr>
        <w:t>The f</w:t>
      </w:r>
      <w:r>
        <w:rPr>
          <w:rFonts w:ascii="Times New Roman" w:hAnsi="Times New Roman" w:cs="Times New Roman"/>
          <w:sz w:val="24"/>
          <w:szCs w:val="24"/>
        </w:rPr>
        <w:t>irst</w:t>
      </w:r>
      <w:r w:rsidR="00162101">
        <w:rPr>
          <w:rFonts w:ascii="Times New Roman" w:hAnsi="Times New Roman" w:cs="Times New Roman"/>
          <w:sz w:val="24"/>
          <w:szCs w:val="24"/>
        </w:rPr>
        <w:t xml:space="preserve"> involves the situation</w:t>
      </w:r>
      <w:r>
        <w:rPr>
          <w:rFonts w:ascii="Times New Roman" w:hAnsi="Times New Roman" w:cs="Times New Roman"/>
          <w:sz w:val="24"/>
          <w:szCs w:val="24"/>
        </w:rPr>
        <w:t xml:space="preserve"> where the corporation’s share value maximizing behavior would result in a market imperfection, for example generating a negative externality such as pollution or e</w:t>
      </w:r>
      <w:r w:rsidRPr="005E3083">
        <w:rPr>
          <w:rFonts w:ascii="Times New Roman" w:hAnsi="Times New Roman" w:cs="Times New Roman"/>
          <w:sz w:val="24"/>
          <w:szCs w:val="24"/>
        </w:rPr>
        <w:t>xercis</w:t>
      </w:r>
      <w:r>
        <w:rPr>
          <w:rFonts w:ascii="Times New Roman" w:hAnsi="Times New Roman" w:cs="Times New Roman"/>
          <w:sz w:val="24"/>
          <w:szCs w:val="24"/>
        </w:rPr>
        <w:t>ing</w:t>
      </w:r>
      <w:r w:rsidRPr="005E3083">
        <w:rPr>
          <w:rFonts w:ascii="Times New Roman" w:hAnsi="Times New Roman" w:cs="Times New Roman"/>
          <w:sz w:val="24"/>
          <w:szCs w:val="24"/>
        </w:rPr>
        <w:t xml:space="preserve"> market </w:t>
      </w:r>
      <w:r>
        <w:rPr>
          <w:rFonts w:ascii="Times New Roman" w:hAnsi="Times New Roman" w:cs="Times New Roman"/>
          <w:sz w:val="24"/>
          <w:szCs w:val="24"/>
        </w:rPr>
        <w:t>power to constrain output and charge a high price</w:t>
      </w:r>
      <w:r w:rsidR="00162101">
        <w:rPr>
          <w:rFonts w:ascii="Times New Roman" w:hAnsi="Times New Roman" w:cs="Times New Roman"/>
          <w:sz w:val="24"/>
          <w:szCs w:val="24"/>
        </w:rPr>
        <w:t>.  In this situation</w:t>
      </w:r>
      <w:r>
        <w:rPr>
          <w:rFonts w:ascii="Times New Roman" w:hAnsi="Times New Roman" w:cs="Times New Roman"/>
          <w:sz w:val="24"/>
          <w:szCs w:val="24"/>
        </w:rPr>
        <w:t>, an investor might prefer that the corporation behave in a different way, one that would reduce or eliminate these adverse social consequences, even if doing so would reduce share value.</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Second, an investor may wish the corporation to act in a way that</w:t>
      </w:r>
      <w:r w:rsidR="00734FC7">
        <w:rPr>
          <w:rFonts w:ascii="Times New Roman" w:hAnsi="Times New Roman" w:cs="Times New Roman"/>
          <w:sz w:val="24"/>
          <w:szCs w:val="24"/>
        </w:rPr>
        <w:t>, though reducing share value,</w:t>
      </w:r>
      <w:r>
        <w:rPr>
          <w:rFonts w:ascii="Times New Roman" w:hAnsi="Times New Roman" w:cs="Times New Roman"/>
          <w:sz w:val="24"/>
          <w:szCs w:val="24"/>
        </w:rPr>
        <w:t xml:space="preserve"> would</w:t>
      </w:r>
      <w:r w:rsidR="00734FC7">
        <w:rPr>
          <w:rFonts w:ascii="Times New Roman" w:hAnsi="Times New Roman" w:cs="Times New Roman"/>
          <w:sz w:val="24"/>
          <w:szCs w:val="24"/>
        </w:rPr>
        <w:t>,</w:t>
      </w:r>
      <w:r>
        <w:rPr>
          <w:rFonts w:ascii="Times New Roman" w:hAnsi="Times New Roman" w:cs="Times New Roman"/>
          <w:sz w:val="24"/>
          <w:szCs w:val="24"/>
        </w:rPr>
        <w:t xml:space="preserve"> in her eyes</w:t>
      </w:r>
      <w:r w:rsidR="00734FC7">
        <w:rPr>
          <w:rFonts w:ascii="Times New Roman" w:hAnsi="Times New Roman" w:cs="Times New Roman"/>
          <w:sz w:val="24"/>
          <w:szCs w:val="24"/>
        </w:rPr>
        <w:t>,</w:t>
      </w:r>
      <w:r>
        <w:rPr>
          <w:rFonts w:ascii="Times New Roman" w:hAnsi="Times New Roman" w:cs="Times New Roman"/>
          <w:sz w:val="24"/>
          <w:szCs w:val="24"/>
        </w:rPr>
        <w:t xml:space="preserve"> generate a fairer distribution of wealth</w:t>
      </w:r>
      <w:r w:rsidR="00796064">
        <w:rPr>
          <w:rFonts w:ascii="Times New Roman" w:hAnsi="Times New Roman" w:cs="Times New Roman"/>
          <w:sz w:val="24"/>
          <w:szCs w:val="24"/>
        </w:rPr>
        <w:t xml:space="preserve">. </w:t>
      </w:r>
      <w:r w:rsidR="00734FC7">
        <w:rPr>
          <w:rFonts w:ascii="Times New Roman" w:hAnsi="Times New Roman" w:cs="Times New Roman"/>
          <w:sz w:val="24"/>
          <w:szCs w:val="24"/>
        </w:rPr>
        <w:t xml:space="preserve"> Examples would be </w:t>
      </w:r>
      <w:r w:rsidR="00FA78B2">
        <w:rPr>
          <w:rFonts w:ascii="Times New Roman" w:hAnsi="Times New Roman" w:cs="Times New Roman"/>
          <w:sz w:val="24"/>
          <w:szCs w:val="24"/>
        </w:rPr>
        <w:t xml:space="preserve">the corporation </w:t>
      </w:r>
      <w:r w:rsidR="00734FC7">
        <w:rPr>
          <w:rFonts w:ascii="Times New Roman" w:hAnsi="Times New Roman" w:cs="Times New Roman"/>
          <w:sz w:val="24"/>
          <w:szCs w:val="24"/>
        </w:rPr>
        <w:t xml:space="preserve">paying its workers more than a competitive wage or selling its output for less than a competitive price. </w:t>
      </w:r>
      <w:r w:rsidRPr="005E3083">
        <w:rPr>
          <w:rFonts w:ascii="Times New Roman" w:hAnsi="Times New Roman" w:cs="Times New Roman"/>
          <w:sz w:val="24"/>
          <w:szCs w:val="24"/>
        </w:rPr>
        <w:t xml:space="preserve">Third, </w:t>
      </w:r>
      <w:r>
        <w:rPr>
          <w:rFonts w:ascii="Times New Roman" w:hAnsi="Times New Roman" w:cs="Times New Roman"/>
          <w:sz w:val="24"/>
          <w:szCs w:val="24"/>
        </w:rPr>
        <w:t>the investor</w:t>
      </w:r>
      <w:r w:rsidRPr="005E3083">
        <w:rPr>
          <w:rFonts w:ascii="Times New Roman" w:hAnsi="Times New Roman" w:cs="Times New Roman"/>
          <w:sz w:val="24"/>
          <w:szCs w:val="24"/>
        </w:rPr>
        <w:t xml:space="preserve"> may wish </w:t>
      </w:r>
      <w:r w:rsidR="00734FC7">
        <w:rPr>
          <w:rFonts w:ascii="Times New Roman" w:hAnsi="Times New Roman" w:cs="Times New Roman"/>
          <w:sz w:val="24"/>
          <w:szCs w:val="24"/>
        </w:rPr>
        <w:t>the corporation to</w:t>
      </w:r>
      <w:r w:rsidRPr="005E3083">
        <w:rPr>
          <w:rFonts w:ascii="Times New Roman" w:hAnsi="Times New Roman" w:cs="Times New Roman"/>
          <w:sz w:val="24"/>
          <w:szCs w:val="24"/>
        </w:rPr>
        <w:t xml:space="preserve"> deviate </w:t>
      </w:r>
      <w:r>
        <w:rPr>
          <w:rFonts w:ascii="Times New Roman" w:hAnsi="Times New Roman" w:cs="Times New Roman"/>
          <w:sz w:val="24"/>
          <w:szCs w:val="24"/>
        </w:rPr>
        <w:t xml:space="preserve">from share value maximization to </w:t>
      </w:r>
      <w:r w:rsidRPr="005E3083">
        <w:rPr>
          <w:rFonts w:ascii="Times New Roman" w:hAnsi="Times New Roman" w:cs="Times New Roman"/>
          <w:sz w:val="24"/>
          <w:szCs w:val="24"/>
        </w:rPr>
        <w:t xml:space="preserve">benefit </w:t>
      </w:r>
      <w:r>
        <w:rPr>
          <w:rFonts w:ascii="Times New Roman" w:hAnsi="Times New Roman" w:cs="Times New Roman"/>
          <w:sz w:val="24"/>
          <w:szCs w:val="24"/>
        </w:rPr>
        <w:t xml:space="preserve">her personally </w:t>
      </w:r>
      <w:r w:rsidRPr="005E3083">
        <w:rPr>
          <w:rFonts w:ascii="Times New Roman" w:hAnsi="Times New Roman" w:cs="Times New Roman"/>
          <w:sz w:val="24"/>
          <w:szCs w:val="24"/>
        </w:rPr>
        <w:t xml:space="preserve">in ways other than </w:t>
      </w:r>
      <w:r w:rsidR="00734FC7">
        <w:rPr>
          <w:rFonts w:ascii="Times New Roman" w:hAnsi="Times New Roman" w:cs="Times New Roman"/>
          <w:sz w:val="24"/>
          <w:szCs w:val="24"/>
        </w:rPr>
        <w:t xml:space="preserve">by providing her </w:t>
      </w:r>
      <w:r w:rsidRPr="005E3083">
        <w:rPr>
          <w:rFonts w:ascii="Times New Roman" w:hAnsi="Times New Roman" w:cs="Times New Roman"/>
          <w:sz w:val="24"/>
          <w:szCs w:val="24"/>
        </w:rPr>
        <w:t>dividends or capital gains</w:t>
      </w:r>
      <w:r w:rsidR="00734FC7">
        <w:rPr>
          <w:rFonts w:ascii="Times New Roman" w:hAnsi="Times New Roman" w:cs="Times New Roman"/>
          <w:sz w:val="24"/>
          <w:szCs w:val="24"/>
        </w:rPr>
        <w:t xml:space="preserve">. </w:t>
      </w:r>
      <w:r w:rsidR="00FA78B2">
        <w:rPr>
          <w:rFonts w:ascii="Times New Roman" w:hAnsi="Times New Roman" w:cs="Times New Roman"/>
          <w:sz w:val="24"/>
          <w:szCs w:val="24"/>
        </w:rPr>
        <w:t>Sh</w:t>
      </w:r>
      <w:r w:rsidR="00734FC7">
        <w:rPr>
          <w:rFonts w:ascii="Times New Roman" w:hAnsi="Times New Roman" w:cs="Times New Roman"/>
          <w:sz w:val="24"/>
          <w:szCs w:val="24"/>
        </w:rPr>
        <w:t>e may wish it</w:t>
      </w:r>
      <w:r w:rsidR="00FA78B2">
        <w:rPr>
          <w:rFonts w:ascii="Times New Roman" w:hAnsi="Times New Roman" w:cs="Times New Roman"/>
          <w:sz w:val="24"/>
          <w:szCs w:val="24"/>
        </w:rPr>
        <w:t>, for example,</w:t>
      </w:r>
      <w:r w:rsidR="00734FC7">
        <w:rPr>
          <w:rFonts w:ascii="Times New Roman" w:hAnsi="Times New Roman" w:cs="Times New Roman"/>
          <w:sz w:val="24"/>
          <w:szCs w:val="24"/>
        </w:rPr>
        <w:t xml:space="preserve"> to </w:t>
      </w:r>
      <w:r w:rsidRPr="005E3083">
        <w:rPr>
          <w:rFonts w:ascii="Times New Roman" w:hAnsi="Times New Roman" w:cs="Times New Roman"/>
          <w:sz w:val="24"/>
          <w:szCs w:val="24"/>
        </w:rPr>
        <w:t>provid</w:t>
      </w:r>
      <w:r w:rsidR="00734FC7">
        <w:rPr>
          <w:rFonts w:ascii="Times New Roman" w:hAnsi="Times New Roman" w:cs="Times New Roman"/>
          <w:sz w:val="24"/>
          <w:szCs w:val="24"/>
        </w:rPr>
        <w:t>e</w:t>
      </w:r>
      <w:r w:rsidRPr="005E3083">
        <w:rPr>
          <w:rFonts w:ascii="Times New Roman" w:hAnsi="Times New Roman" w:cs="Times New Roman"/>
          <w:sz w:val="24"/>
          <w:szCs w:val="24"/>
        </w:rPr>
        <w:t xml:space="preserve"> </w:t>
      </w:r>
      <w:r w:rsidR="00734FC7">
        <w:rPr>
          <w:rFonts w:ascii="Times New Roman" w:hAnsi="Times New Roman" w:cs="Times New Roman"/>
          <w:sz w:val="24"/>
          <w:szCs w:val="24"/>
        </w:rPr>
        <w:t xml:space="preserve">her </w:t>
      </w:r>
      <w:r w:rsidRPr="005E3083">
        <w:rPr>
          <w:rFonts w:ascii="Times New Roman" w:hAnsi="Times New Roman" w:cs="Times New Roman"/>
          <w:sz w:val="24"/>
          <w:szCs w:val="24"/>
        </w:rPr>
        <w:t xml:space="preserve">favorable terms when the corporation buys </w:t>
      </w:r>
      <w:r w:rsidR="00FA78B2">
        <w:rPr>
          <w:rFonts w:ascii="Times New Roman" w:hAnsi="Times New Roman" w:cs="Times New Roman"/>
          <w:sz w:val="24"/>
          <w:szCs w:val="24"/>
        </w:rPr>
        <w:t xml:space="preserve">inputs </w:t>
      </w:r>
      <w:r w:rsidRPr="005E3083">
        <w:rPr>
          <w:rFonts w:ascii="Times New Roman" w:hAnsi="Times New Roman" w:cs="Times New Roman"/>
          <w:sz w:val="24"/>
          <w:szCs w:val="24"/>
        </w:rPr>
        <w:t>from</w:t>
      </w:r>
      <w:r w:rsidR="00FA78B2">
        <w:rPr>
          <w:rFonts w:ascii="Times New Roman" w:hAnsi="Times New Roman" w:cs="Times New Roman"/>
          <w:sz w:val="24"/>
          <w:szCs w:val="24"/>
        </w:rPr>
        <w:t xml:space="preserve">, </w:t>
      </w:r>
      <w:r w:rsidRPr="005E3083">
        <w:rPr>
          <w:rFonts w:ascii="Times New Roman" w:hAnsi="Times New Roman" w:cs="Times New Roman"/>
          <w:sz w:val="24"/>
          <w:szCs w:val="24"/>
        </w:rPr>
        <w:t xml:space="preserve">or </w:t>
      </w:r>
      <w:r w:rsidR="00FA78B2">
        <w:rPr>
          <w:rFonts w:ascii="Times New Roman" w:hAnsi="Times New Roman" w:cs="Times New Roman"/>
          <w:sz w:val="24"/>
          <w:szCs w:val="24"/>
        </w:rPr>
        <w:t xml:space="preserve">sells outputs to, either herself or </w:t>
      </w:r>
      <w:r w:rsidRPr="005E3083">
        <w:rPr>
          <w:rFonts w:ascii="Times New Roman" w:hAnsi="Times New Roman" w:cs="Times New Roman"/>
          <w:sz w:val="24"/>
          <w:szCs w:val="24"/>
        </w:rPr>
        <w:t>another firm in which she directly or indirectly has an equity interest</w:t>
      </w:r>
      <w:r w:rsidR="00734FC7">
        <w:rPr>
          <w:rFonts w:ascii="Times New Roman" w:hAnsi="Times New Roman" w:cs="Times New Roman"/>
          <w:sz w:val="24"/>
          <w:szCs w:val="24"/>
        </w:rPr>
        <w:t xml:space="preserve">.  Or she may wish </w:t>
      </w:r>
      <w:r w:rsidR="00FA78B2">
        <w:rPr>
          <w:rFonts w:ascii="Times New Roman" w:hAnsi="Times New Roman" w:cs="Times New Roman"/>
          <w:sz w:val="24"/>
          <w:szCs w:val="24"/>
        </w:rPr>
        <w:t xml:space="preserve">the corporation </w:t>
      </w:r>
      <w:r w:rsidR="00734FC7">
        <w:rPr>
          <w:rFonts w:ascii="Times New Roman" w:hAnsi="Times New Roman" w:cs="Times New Roman"/>
          <w:sz w:val="24"/>
          <w:szCs w:val="24"/>
        </w:rPr>
        <w:t>to c</w:t>
      </w:r>
      <w:r w:rsidRPr="005E3083">
        <w:rPr>
          <w:rFonts w:ascii="Times New Roman" w:hAnsi="Times New Roman" w:cs="Times New Roman"/>
          <w:sz w:val="24"/>
          <w:szCs w:val="24"/>
        </w:rPr>
        <w:t>ompet</w:t>
      </w:r>
      <w:r w:rsidR="00734FC7">
        <w:rPr>
          <w:rFonts w:ascii="Times New Roman" w:hAnsi="Times New Roman" w:cs="Times New Roman"/>
          <w:sz w:val="24"/>
          <w:szCs w:val="24"/>
        </w:rPr>
        <w:t>e</w:t>
      </w:r>
      <w:r w:rsidRPr="005E3083">
        <w:rPr>
          <w:rFonts w:ascii="Times New Roman" w:hAnsi="Times New Roman" w:cs="Times New Roman"/>
          <w:sz w:val="24"/>
          <w:szCs w:val="24"/>
        </w:rPr>
        <w:t xml:space="preserve"> less aggressively with another firm </w:t>
      </w:r>
      <w:r w:rsidR="00734FC7">
        <w:rPr>
          <w:rFonts w:ascii="Times New Roman" w:hAnsi="Times New Roman" w:cs="Times New Roman"/>
          <w:sz w:val="24"/>
          <w:szCs w:val="24"/>
        </w:rPr>
        <w:t xml:space="preserve">in the same industry </w:t>
      </w:r>
      <w:r w:rsidRPr="005E3083">
        <w:rPr>
          <w:rFonts w:ascii="Times New Roman" w:hAnsi="Times New Roman" w:cs="Times New Roman"/>
          <w:sz w:val="24"/>
          <w:szCs w:val="24"/>
        </w:rPr>
        <w:t>in which she has such an interest.</w:t>
      </w:r>
      <w:r>
        <w:rPr>
          <w:rStyle w:val="FootnoteReference"/>
          <w:rFonts w:ascii="Times New Roman" w:hAnsi="Times New Roman" w:cs="Times New Roman"/>
          <w:sz w:val="24"/>
          <w:szCs w:val="24"/>
        </w:rPr>
        <w:footnoteReference w:id="18"/>
      </w:r>
      <w:r w:rsidRPr="005E3083">
        <w:rPr>
          <w:rFonts w:ascii="Times New Roman" w:hAnsi="Times New Roman" w:cs="Times New Roman"/>
          <w:sz w:val="24"/>
          <w:szCs w:val="24"/>
        </w:rPr>
        <w:t xml:space="preserve">   </w:t>
      </w:r>
      <w:r>
        <w:rPr>
          <w:rFonts w:ascii="Times New Roman" w:hAnsi="Times New Roman" w:cs="Times New Roman"/>
          <w:sz w:val="24"/>
          <w:szCs w:val="24"/>
        </w:rPr>
        <w:t xml:space="preserve">In sum, while many investors in a corporation may wish it simply </w:t>
      </w:r>
      <w:r w:rsidR="00FA78B2">
        <w:rPr>
          <w:rFonts w:ascii="Times New Roman" w:hAnsi="Times New Roman" w:cs="Times New Roman"/>
          <w:sz w:val="24"/>
          <w:szCs w:val="24"/>
        </w:rPr>
        <w:t xml:space="preserve">to </w:t>
      </w:r>
      <w:r>
        <w:rPr>
          <w:rFonts w:ascii="Times New Roman" w:hAnsi="Times New Roman" w:cs="Times New Roman"/>
          <w:sz w:val="24"/>
          <w:szCs w:val="24"/>
        </w:rPr>
        <w:t xml:space="preserve">maximize share value, others would be willing to sacrifice some </w:t>
      </w:r>
      <w:r>
        <w:rPr>
          <w:rFonts w:ascii="Times New Roman" w:hAnsi="Times New Roman" w:cs="Times New Roman"/>
          <w:sz w:val="24"/>
          <w:szCs w:val="24"/>
        </w:rPr>
        <w:lastRenderedPageBreak/>
        <w:t xml:space="preserve">share value in furtherance of other ends. As a result, a corporation’s shareholders can </w:t>
      </w:r>
      <w:r w:rsidRPr="005E3083">
        <w:rPr>
          <w:rFonts w:ascii="Times New Roman" w:hAnsi="Times New Roman" w:cs="Times New Roman"/>
          <w:sz w:val="24"/>
          <w:szCs w:val="24"/>
        </w:rPr>
        <w:t>differ in their preferences</w:t>
      </w:r>
      <w:r>
        <w:rPr>
          <w:rFonts w:ascii="Times New Roman" w:hAnsi="Times New Roman" w:cs="Times New Roman"/>
          <w:sz w:val="24"/>
          <w:szCs w:val="24"/>
        </w:rPr>
        <w:t xml:space="preserve"> concerning its proper objective</w:t>
      </w:r>
      <w:r w:rsidR="00796064">
        <w:rPr>
          <w:rFonts w:ascii="Times New Roman" w:hAnsi="Times New Roman" w:cs="Times New Roman"/>
          <w:sz w:val="24"/>
          <w:szCs w:val="24"/>
        </w:rPr>
        <w:t xml:space="preserve">. </w:t>
      </w:r>
    </w:p>
    <w:p w14:paraId="2AD08985" w14:textId="412AC297" w:rsidR="00D2644F" w:rsidRDefault="009B682C" w:rsidP="009B682C">
      <w:pPr>
        <w:spacing w:after="0" w:line="480" w:lineRule="auto"/>
        <w:jc w:val="both"/>
        <w:rPr>
          <w:rFonts w:ascii="Times New Roman" w:hAnsi="Times New Roman" w:cs="Times New Roman"/>
          <w:sz w:val="24"/>
          <w:szCs w:val="24"/>
        </w:rPr>
      </w:pPr>
      <w:r w:rsidRPr="005E3083">
        <w:rPr>
          <w:rFonts w:ascii="Times New Roman" w:hAnsi="Times New Roman" w:cs="Times New Roman"/>
          <w:sz w:val="24"/>
          <w:szCs w:val="24"/>
        </w:rPr>
        <w:tab/>
      </w:r>
      <w:r>
        <w:rPr>
          <w:rFonts w:ascii="Times New Roman" w:hAnsi="Times New Roman" w:cs="Times New Roman"/>
          <w:sz w:val="24"/>
          <w:szCs w:val="24"/>
        </w:rPr>
        <w:t>Our analysis of the potential pathways by which the existence of investors willing to sacrifice share value might possibly influence managerial behavior proceeds in two stages</w:t>
      </w:r>
      <w:r w:rsidR="00796064">
        <w:rPr>
          <w:rFonts w:ascii="Times New Roman" w:hAnsi="Times New Roman" w:cs="Times New Roman"/>
          <w:sz w:val="24"/>
          <w:szCs w:val="24"/>
        </w:rPr>
        <w:t xml:space="preserve">. </w:t>
      </w:r>
      <w:r>
        <w:rPr>
          <w:rFonts w:ascii="Times New Roman" w:hAnsi="Times New Roman" w:cs="Times New Roman"/>
          <w:sz w:val="24"/>
          <w:szCs w:val="24"/>
        </w:rPr>
        <w:t>The first stage, undertaken in Part II, assumes that while many investors in a firm may have ends they wish the firm would pursue even if doing so will sacrifice share value, they compose their equity portfolios for ordinary financial reasons unrelated to their views concerning each firm’s behavior</w:t>
      </w:r>
      <w:r w:rsidR="00796064">
        <w:rPr>
          <w:rFonts w:ascii="Times New Roman" w:hAnsi="Times New Roman" w:cs="Times New Roman"/>
          <w:sz w:val="24"/>
          <w:szCs w:val="24"/>
        </w:rPr>
        <w:t xml:space="preserve">. </w:t>
      </w:r>
      <w:r>
        <w:rPr>
          <w:rFonts w:ascii="Times New Roman" w:hAnsi="Times New Roman" w:cs="Times New Roman"/>
          <w:sz w:val="24"/>
          <w:szCs w:val="24"/>
        </w:rPr>
        <w:t>In other words, in Part II,</w:t>
      </w:r>
      <w:r w:rsidRPr="005E3083">
        <w:rPr>
          <w:rFonts w:ascii="Times New Roman" w:hAnsi="Times New Roman" w:cs="Times New Roman"/>
          <w:sz w:val="24"/>
          <w:szCs w:val="24"/>
        </w:rPr>
        <w:t xml:space="preserve"> </w:t>
      </w:r>
      <w:r>
        <w:rPr>
          <w:rFonts w:ascii="Times New Roman" w:hAnsi="Times New Roman" w:cs="Times New Roman"/>
          <w:sz w:val="24"/>
          <w:szCs w:val="24"/>
        </w:rPr>
        <w:t>we take</w:t>
      </w:r>
      <w:r w:rsidRPr="005E3083">
        <w:rPr>
          <w:rFonts w:ascii="Times New Roman" w:hAnsi="Times New Roman" w:cs="Times New Roman"/>
          <w:sz w:val="24"/>
          <w:szCs w:val="24"/>
        </w:rPr>
        <w:t xml:space="preserve"> the initial existing shareholder makeup of each of the firm’s public firms as </w:t>
      </w:r>
      <w:r>
        <w:rPr>
          <w:rFonts w:ascii="Times New Roman" w:hAnsi="Times New Roman" w:cs="Times New Roman"/>
          <w:sz w:val="24"/>
          <w:szCs w:val="24"/>
        </w:rPr>
        <w:t>fixed</w:t>
      </w:r>
      <w:r w:rsidR="00245CC4">
        <w:rPr>
          <w:rFonts w:ascii="Times New Roman" w:hAnsi="Times New Roman" w:cs="Times New Roman"/>
          <w:sz w:val="24"/>
          <w:szCs w:val="24"/>
        </w:rPr>
        <w:t xml:space="preserve"> and randomly drawn from the body of the economy’s equity investors</w:t>
      </w:r>
      <w:r w:rsidR="00D43A49">
        <w:rPr>
          <w:rFonts w:ascii="Times New Roman" w:hAnsi="Times New Roman" w:cs="Times New Roman"/>
          <w:sz w:val="24"/>
          <w:szCs w:val="24"/>
        </w:rPr>
        <w:t xml:space="preserve">. </w:t>
      </w:r>
      <w:r w:rsidR="00931FC5">
        <w:rPr>
          <w:rFonts w:ascii="Times New Roman" w:hAnsi="Times New Roman" w:cs="Times New Roman"/>
          <w:sz w:val="24"/>
          <w:szCs w:val="24"/>
        </w:rPr>
        <w:t>The</w:t>
      </w:r>
      <w:r w:rsidR="00D43A49">
        <w:rPr>
          <w:rFonts w:ascii="Times New Roman" w:hAnsi="Times New Roman" w:cs="Times New Roman"/>
          <w:sz w:val="24"/>
          <w:szCs w:val="24"/>
        </w:rPr>
        <w:t xml:space="preserve"> </w:t>
      </w:r>
      <w:r w:rsidR="00931FC5">
        <w:rPr>
          <w:rFonts w:ascii="Times New Roman" w:hAnsi="Times New Roman" w:cs="Times New Roman"/>
          <w:sz w:val="24"/>
          <w:szCs w:val="24"/>
        </w:rPr>
        <w:t>presence of</w:t>
      </w:r>
      <w:r w:rsidR="00D43A49">
        <w:rPr>
          <w:rFonts w:ascii="Times New Roman" w:hAnsi="Times New Roman" w:cs="Times New Roman"/>
          <w:sz w:val="24"/>
          <w:szCs w:val="24"/>
        </w:rPr>
        <w:t xml:space="preserve"> profit sacrificing investors</w:t>
      </w:r>
      <w:r w:rsidR="00931FC5">
        <w:rPr>
          <w:rFonts w:ascii="Times New Roman" w:hAnsi="Times New Roman" w:cs="Times New Roman"/>
          <w:sz w:val="24"/>
          <w:szCs w:val="24"/>
        </w:rPr>
        <w:t xml:space="preserve"> in the economy means that, under this assumption, </w:t>
      </w:r>
      <w:r w:rsidR="00D43A49">
        <w:rPr>
          <w:rFonts w:ascii="Times New Roman" w:hAnsi="Times New Roman" w:cs="Times New Roman"/>
          <w:sz w:val="24"/>
          <w:szCs w:val="24"/>
        </w:rPr>
        <w:t xml:space="preserve">each firm’s shareholder base will include </w:t>
      </w:r>
      <w:r>
        <w:rPr>
          <w:rFonts w:ascii="Times New Roman" w:hAnsi="Times New Roman" w:cs="Times New Roman"/>
          <w:sz w:val="24"/>
          <w:szCs w:val="24"/>
        </w:rPr>
        <w:t>some shareholders solely desiring profit maximization and others desiring a deviation from profit maximization for one or more reasons</w:t>
      </w:r>
      <w:r w:rsidR="00796064">
        <w:rPr>
          <w:rFonts w:ascii="Times New Roman" w:hAnsi="Times New Roman" w:cs="Times New Roman"/>
          <w:sz w:val="24"/>
          <w:szCs w:val="24"/>
        </w:rPr>
        <w:t xml:space="preserve">. </w:t>
      </w:r>
      <w:r w:rsidR="001059D9">
        <w:rPr>
          <w:rFonts w:ascii="Times New Roman" w:hAnsi="Times New Roman" w:cs="Times New Roman"/>
          <w:sz w:val="24"/>
          <w:szCs w:val="24"/>
        </w:rPr>
        <w:t>B</w:t>
      </w:r>
      <w:r w:rsidR="00227E3A">
        <w:rPr>
          <w:rFonts w:ascii="Times New Roman" w:hAnsi="Times New Roman" w:cs="Times New Roman"/>
          <w:sz w:val="24"/>
          <w:szCs w:val="24"/>
        </w:rPr>
        <w:t xml:space="preserve">ecause </w:t>
      </w:r>
      <w:r w:rsidR="001059D9">
        <w:rPr>
          <w:rFonts w:ascii="Times New Roman" w:hAnsi="Times New Roman" w:cs="Times New Roman"/>
          <w:sz w:val="24"/>
          <w:szCs w:val="24"/>
        </w:rPr>
        <w:t xml:space="preserve">each equity investor’s </w:t>
      </w:r>
      <w:r w:rsidR="00227E3A">
        <w:rPr>
          <w:rFonts w:ascii="Times New Roman" w:hAnsi="Times New Roman" w:cs="Times New Roman"/>
          <w:sz w:val="24"/>
          <w:szCs w:val="24"/>
        </w:rPr>
        <w:t>choice</w:t>
      </w:r>
      <w:r w:rsidR="00FA78B2">
        <w:rPr>
          <w:rFonts w:ascii="Times New Roman" w:hAnsi="Times New Roman" w:cs="Times New Roman"/>
          <w:sz w:val="24"/>
          <w:szCs w:val="24"/>
        </w:rPr>
        <w:t xml:space="preserve"> as to what corporations’ shares are, directly or indirectly, </w:t>
      </w:r>
      <w:r w:rsidR="00D35721">
        <w:rPr>
          <w:rFonts w:ascii="Times New Roman" w:hAnsi="Times New Roman" w:cs="Times New Roman"/>
          <w:sz w:val="24"/>
          <w:szCs w:val="24"/>
        </w:rPr>
        <w:t xml:space="preserve">compose </w:t>
      </w:r>
      <w:r w:rsidR="00FA78B2">
        <w:rPr>
          <w:rFonts w:ascii="Times New Roman" w:hAnsi="Times New Roman" w:cs="Times New Roman"/>
          <w:sz w:val="24"/>
          <w:szCs w:val="24"/>
        </w:rPr>
        <w:t>her portfolio</w:t>
      </w:r>
      <w:r w:rsidR="001059D9">
        <w:rPr>
          <w:rFonts w:ascii="Times New Roman" w:hAnsi="Times New Roman" w:cs="Times New Roman"/>
          <w:sz w:val="24"/>
          <w:szCs w:val="24"/>
        </w:rPr>
        <w:t xml:space="preserve">, is </w:t>
      </w:r>
      <w:r w:rsidR="00227E3A">
        <w:rPr>
          <w:rFonts w:ascii="Times New Roman" w:hAnsi="Times New Roman" w:cs="Times New Roman"/>
          <w:sz w:val="24"/>
          <w:szCs w:val="24"/>
        </w:rPr>
        <w:t xml:space="preserve">assumed not to take these </w:t>
      </w:r>
      <w:r w:rsidR="001059D9">
        <w:rPr>
          <w:rFonts w:ascii="Times New Roman" w:hAnsi="Times New Roman" w:cs="Times New Roman"/>
          <w:sz w:val="24"/>
          <w:szCs w:val="24"/>
        </w:rPr>
        <w:t xml:space="preserve">preferences into account, </w:t>
      </w:r>
      <w:r>
        <w:rPr>
          <w:rFonts w:ascii="Times New Roman" w:hAnsi="Times New Roman" w:cs="Times New Roman"/>
          <w:sz w:val="24"/>
          <w:szCs w:val="24"/>
        </w:rPr>
        <w:t xml:space="preserve">the composition of the shareholder body of </w:t>
      </w:r>
      <w:r w:rsidR="001059D9">
        <w:rPr>
          <w:rFonts w:ascii="Times New Roman" w:hAnsi="Times New Roman" w:cs="Times New Roman"/>
          <w:sz w:val="24"/>
          <w:szCs w:val="24"/>
        </w:rPr>
        <w:t xml:space="preserve">each </w:t>
      </w:r>
      <w:r>
        <w:rPr>
          <w:rFonts w:ascii="Times New Roman" w:hAnsi="Times New Roman" w:cs="Times New Roman"/>
          <w:sz w:val="24"/>
          <w:szCs w:val="24"/>
        </w:rPr>
        <w:t>corporation should resemble the composition of equity investors generally</w:t>
      </w:r>
      <w:r w:rsidR="001059D9">
        <w:rPr>
          <w:rFonts w:ascii="Times New Roman" w:hAnsi="Times New Roman" w:cs="Times New Roman"/>
          <w:sz w:val="24"/>
          <w:szCs w:val="24"/>
        </w:rPr>
        <w:t xml:space="preserve"> in these regards, with </w:t>
      </w:r>
      <w:r w:rsidR="00D35721">
        <w:rPr>
          <w:rFonts w:ascii="Times New Roman" w:hAnsi="Times New Roman" w:cs="Times New Roman"/>
          <w:sz w:val="24"/>
          <w:szCs w:val="24"/>
        </w:rPr>
        <w:t xml:space="preserve">any </w:t>
      </w:r>
      <w:r w:rsidR="001059D9">
        <w:rPr>
          <w:rFonts w:ascii="Times New Roman" w:hAnsi="Times New Roman" w:cs="Times New Roman"/>
          <w:sz w:val="24"/>
          <w:szCs w:val="24"/>
        </w:rPr>
        <w:t>differences due</w:t>
      </w:r>
      <w:r>
        <w:rPr>
          <w:rFonts w:ascii="Times New Roman" w:hAnsi="Times New Roman" w:cs="Times New Roman"/>
          <w:sz w:val="24"/>
          <w:szCs w:val="24"/>
        </w:rPr>
        <w:t xml:space="preserve"> primarily to chance</w:t>
      </w:r>
      <w:r w:rsidR="00796064">
        <w:rPr>
          <w:rFonts w:ascii="Times New Roman" w:hAnsi="Times New Roman" w:cs="Times New Roman"/>
          <w:sz w:val="24"/>
          <w:szCs w:val="24"/>
        </w:rPr>
        <w:t xml:space="preserve">. </w:t>
      </w:r>
    </w:p>
    <w:p w14:paraId="129B0A19" w14:textId="58E331E6" w:rsidR="009B682C" w:rsidRDefault="009B682C" w:rsidP="00D2644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Part II </w:t>
      </w:r>
      <w:r w:rsidRPr="005E3083">
        <w:rPr>
          <w:rFonts w:ascii="Times New Roman" w:hAnsi="Times New Roman" w:cs="Times New Roman"/>
          <w:sz w:val="24"/>
          <w:szCs w:val="24"/>
        </w:rPr>
        <w:t xml:space="preserve">addresses, for </w:t>
      </w:r>
      <w:r>
        <w:rPr>
          <w:rFonts w:ascii="Times New Roman" w:hAnsi="Times New Roman" w:cs="Times New Roman"/>
          <w:sz w:val="24"/>
          <w:szCs w:val="24"/>
        </w:rPr>
        <w:t>each of the three share-value-sacrificing categories identified in Part I, the likelihood, if</w:t>
      </w:r>
      <w:r w:rsidR="001059D9">
        <w:rPr>
          <w:rFonts w:ascii="Times New Roman" w:hAnsi="Times New Roman" w:cs="Times New Roman"/>
          <w:sz w:val="24"/>
          <w:szCs w:val="24"/>
        </w:rPr>
        <w:t xml:space="preserve"> any,</w:t>
      </w:r>
      <w:r>
        <w:rPr>
          <w:rFonts w:ascii="Times New Roman" w:hAnsi="Times New Roman" w:cs="Times New Roman"/>
          <w:sz w:val="24"/>
          <w:szCs w:val="24"/>
        </w:rPr>
        <w:t xml:space="preserve"> that</w:t>
      </w:r>
      <w:r w:rsidR="00E319AF">
        <w:rPr>
          <w:rFonts w:ascii="Times New Roman" w:hAnsi="Times New Roman" w:cs="Times New Roman"/>
          <w:sz w:val="24"/>
          <w:szCs w:val="24"/>
        </w:rPr>
        <w:t xml:space="preserve"> </w:t>
      </w:r>
      <w:r>
        <w:rPr>
          <w:rFonts w:ascii="Times New Roman" w:hAnsi="Times New Roman" w:cs="Times New Roman"/>
          <w:sz w:val="24"/>
          <w:szCs w:val="24"/>
        </w:rPr>
        <w:t>the presence of some shareholders having such a preference will affect a corporation’s behavior</w:t>
      </w:r>
      <w:r w:rsidR="005D6D41">
        <w:rPr>
          <w:rFonts w:ascii="Times New Roman" w:hAnsi="Times New Roman" w:cs="Times New Roman"/>
          <w:sz w:val="24"/>
          <w:szCs w:val="24"/>
        </w:rPr>
        <w:t>.  W</w:t>
      </w:r>
      <w:r>
        <w:rPr>
          <w:rFonts w:ascii="Times New Roman" w:hAnsi="Times New Roman" w:cs="Times New Roman"/>
          <w:sz w:val="24"/>
          <w:szCs w:val="24"/>
        </w:rPr>
        <w:t xml:space="preserve">e conclude that under current governance arrangements, where the only binding shareholder votes of relevance </w:t>
      </w:r>
      <w:r w:rsidR="00912B66">
        <w:rPr>
          <w:rFonts w:ascii="Times New Roman" w:hAnsi="Times New Roman" w:cs="Times New Roman"/>
          <w:sz w:val="24"/>
          <w:szCs w:val="24"/>
        </w:rPr>
        <w:t>concern</w:t>
      </w:r>
      <w:r>
        <w:rPr>
          <w:rFonts w:ascii="Times New Roman" w:hAnsi="Times New Roman" w:cs="Times New Roman"/>
          <w:sz w:val="24"/>
          <w:szCs w:val="24"/>
        </w:rPr>
        <w:t xml:space="preserve"> who will be the directors, the existence of shareholders favoring some share-value-sacrificing end is unlikely to alter significantly most corporations’ behaviors</w:t>
      </w:r>
      <w:r w:rsidR="005D6D41">
        <w:rPr>
          <w:rFonts w:ascii="Times New Roman" w:hAnsi="Times New Roman" w:cs="Times New Roman"/>
          <w:sz w:val="24"/>
          <w:szCs w:val="24"/>
        </w:rPr>
        <w:t>.  In other words, the</w:t>
      </w:r>
      <w:r w:rsidR="00D35721">
        <w:rPr>
          <w:rFonts w:ascii="Times New Roman" w:hAnsi="Times New Roman" w:cs="Times New Roman"/>
          <w:sz w:val="24"/>
          <w:szCs w:val="24"/>
        </w:rPr>
        <w:t xml:space="preserve">se corporations </w:t>
      </w:r>
      <w:r w:rsidR="005D6D41">
        <w:rPr>
          <w:rFonts w:ascii="Times New Roman" w:hAnsi="Times New Roman" w:cs="Times New Roman"/>
          <w:sz w:val="24"/>
          <w:szCs w:val="24"/>
        </w:rPr>
        <w:t>would not behave significantly differently than if</w:t>
      </w:r>
      <w:r>
        <w:rPr>
          <w:rFonts w:ascii="Times New Roman" w:hAnsi="Times New Roman" w:cs="Times New Roman"/>
          <w:sz w:val="24"/>
          <w:szCs w:val="24"/>
        </w:rPr>
        <w:t xml:space="preserve"> all their shareholders favor</w:t>
      </w:r>
      <w:r w:rsidR="005D6D41">
        <w:rPr>
          <w:rFonts w:ascii="Times New Roman" w:hAnsi="Times New Roman" w:cs="Times New Roman"/>
          <w:sz w:val="24"/>
          <w:szCs w:val="24"/>
        </w:rPr>
        <w:t>ed</w:t>
      </w:r>
      <w:r>
        <w:rPr>
          <w:rFonts w:ascii="Times New Roman" w:hAnsi="Times New Roman" w:cs="Times New Roman"/>
          <w:sz w:val="24"/>
          <w:szCs w:val="24"/>
        </w:rPr>
        <w:t xml:space="preserve"> share value maximization</w:t>
      </w:r>
      <w:r w:rsidR="00796064">
        <w:rPr>
          <w:rFonts w:ascii="Times New Roman" w:hAnsi="Times New Roman" w:cs="Times New Roman"/>
          <w:sz w:val="24"/>
          <w:szCs w:val="24"/>
        </w:rPr>
        <w:t xml:space="preserve">. </w:t>
      </w:r>
      <w:r>
        <w:rPr>
          <w:rFonts w:ascii="Times New Roman" w:hAnsi="Times New Roman" w:cs="Times New Roman"/>
          <w:sz w:val="24"/>
          <w:szCs w:val="24"/>
        </w:rPr>
        <w:t xml:space="preserve">This conclusion is </w:t>
      </w:r>
      <w:r>
        <w:rPr>
          <w:rFonts w:ascii="Times New Roman" w:hAnsi="Times New Roman" w:cs="Times New Roman"/>
          <w:sz w:val="24"/>
          <w:szCs w:val="24"/>
        </w:rPr>
        <w:lastRenderedPageBreak/>
        <w:t>derived using the first-stage</w:t>
      </w:r>
      <w:r w:rsidR="00912B66">
        <w:rPr>
          <w:rFonts w:ascii="Times New Roman" w:hAnsi="Times New Roman" w:cs="Times New Roman"/>
          <w:sz w:val="24"/>
          <w:szCs w:val="24"/>
        </w:rPr>
        <w:t>, Part II,</w:t>
      </w:r>
      <w:r>
        <w:rPr>
          <w:rFonts w:ascii="Times New Roman" w:hAnsi="Times New Roman" w:cs="Times New Roman"/>
          <w:sz w:val="24"/>
          <w:szCs w:val="24"/>
        </w:rPr>
        <w:t xml:space="preserve"> assumption that investors compose their equity portfolios for ordinary financial reasons unrelated to their views concerning each firm’s behavior</w:t>
      </w:r>
      <w:r w:rsidR="00796064">
        <w:rPr>
          <w:rFonts w:ascii="Times New Roman" w:hAnsi="Times New Roman" w:cs="Times New Roman"/>
          <w:sz w:val="24"/>
          <w:szCs w:val="24"/>
        </w:rPr>
        <w:t xml:space="preserve">. </w:t>
      </w:r>
      <w:r>
        <w:rPr>
          <w:rFonts w:ascii="Times New Roman" w:hAnsi="Times New Roman" w:cs="Times New Roman"/>
          <w:sz w:val="24"/>
          <w:szCs w:val="24"/>
        </w:rPr>
        <w:t xml:space="preserve">However, </w:t>
      </w:r>
      <w:r w:rsidR="00912B66">
        <w:rPr>
          <w:rFonts w:ascii="Times New Roman" w:hAnsi="Times New Roman" w:cs="Times New Roman"/>
          <w:sz w:val="24"/>
          <w:szCs w:val="24"/>
        </w:rPr>
        <w:t xml:space="preserve">as </w:t>
      </w:r>
      <w:r>
        <w:rPr>
          <w:rFonts w:ascii="Times New Roman" w:hAnsi="Times New Roman" w:cs="Times New Roman"/>
          <w:sz w:val="24"/>
          <w:szCs w:val="24"/>
        </w:rPr>
        <w:t xml:space="preserve">we will see when we discuss the second stage analysis in Part III, </w:t>
      </w:r>
      <w:r w:rsidR="00C67CEA">
        <w:rPr>
          <w:rFonts w:ascii="Times New Roman" w:hAnsi="Times New Roman" w:cs="Times New Roman"/>
          <w:sz w:val="24"/>
          <w:szCs w:val="24"/>
        </w:rPr>
        <w:t xml:space="preserve">this conclusion is not undermined by </w:t>
      </w:r>
      <w:r>
        <w:rPr>
          <w:rFonts w:ascii="Times New Roman" w:hAnsi="Times New Roman" w:cs="Times New Roman"/>
          <w:sz w:val="24"/>
          <w:szCs w:val="24"/>
        </w:rPr>
        <w:t xml:space="preserve">dropping this assumption and recognizing that an investor’s views </w:t>
      </w:r>
      <w:r w:rsidR="009A4E2D">
        <w:rPr>
          <w:rFonts w:ascii="Times New Roman" w:hAnsi="Times New Roman" w:cs="Times New Roman"/>
          <w:sz w:val="24"/>
          <w:szCs w:val="24"/>
        </w:rPr>
        <w:t>about a</w:t>
      </w:r>
      <w:r>
        <w:rPr>
          <w:rFonts w:ascii="Times New Roman" w:hAnsi="Times New Roman" w:cs="Times New Roman"/>
          <w:sz w:val="24"/>
          <w:szCs w:val="24"/>
        </w:rPr>
        <w:t xml:space="preserve"> firm’s behavior can affect whether they include its shares in the investor’s portfolio</w:t>
      </w:r>
      <w:r w:rsidR="00C67CEA">
        <w:rPr>
          <w:rFonts w:ascii="Times New Roman" w:hAnsi="Times New Roman" w:cs="Times New Roman"/>
          <w:sz w:val="24"/>
          <w:szCs w:val="24"/>
        </w:rPr>
        <w:t>.</w:t>
      </w:r>
      <w:r>
        <w:rPr>
          <w:rFonts w:ascii="Times New Roman" w:hAnsi="Times New Roman" w:cs="Times New Roman"/>
          <w:sz w:val="24"/>
          <w:szCs w:val="24"/>
        </w:rPr>
        <w:t xml:space="preserve"> </w:t>
      </w:r>
      <w:r w:rsidR="00D35721">
        <w:rPr>
          <w:rFonts w:ascii="Times New Roman" w:hAnsi="Times New Roman" w:cs="Times New Roman"/>
          <w:sz w:val="24"/>
          <w:szCs w:val="24"/>
        </w:rPr>
        <w:t xml:space="preserve"> Indeed, </w:t>
      </w:r>
      <w:r w:rsidR="005A1129">
        <w:rPr>
          <w:rFonts w:ascii="Times New Roman" w:hAnsi="Times New Roman" w:cs="Times New Roman"/>
          <w:sz w:val="24"/>
          <w:szCs w:val="24"/>
        </w:rPr>
        <w:t xml:space="preserve">in certain regards, </w:t>
      </w:r>
      <w:r w:rsidR="00D35721">
        <w:rPr>
          <w:rFonts w:ascii="Times New Roman" w:hAnsi="Times New Roman" w:cs="Times New Roman"/>
          <w:sz w:val="24"/>
          <w:szCs w:val="24"/>
        </w:rPr>
        <w:t xml:space="preserve">it is reinforced.  </w:t>
      </w:r>
    </w:p>
    <w:p w14:paraId="4DC71DFD" w14:textId="4763027E" w:rsidR="00360709" w:rsidRDefault="009B682C" w:rsidP="009B682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In the hope of increasing the sensitivity of firm behavior to the existence of shareholders with</w:t>
      </w:r>
      <w:r w:rsidR="00E71A52">
        <w:rPr>
          <w:rFonts w:ascii="Times New Roman" w:hAnsi="Times New Roman" w:cs="Times New Roman"/>
          <w:sz w:val="24"/>
          <w:szCs w:val="24"/>
        </w:rPr>
        <w:t xml:space="preserve"> ot</w:t>
      </w:r>
      <w:r>
        <w:rPr>
          <w:rFonts w:ascii="Times New Roman" w:hAnsi="Times New Roman" w:cs="Times New Roman"/>
          <w:sz w:val="24"/>
          <w:szCs w:val="24"/>
        </w:rPr>
        <w:t>her-end-seeking share-value-sacrificing preferences, some commentators recommend alterations in these governance arrangements to allow shareholders binding votes concerning specific share-value-sacrificing corporate behaviors</w:t>
      </w:r>
      <w:r w:rsidR="00796064">
        <w:rPr>
          <w:rFonts w:ascii="Times New Roman" w:hAnsi="Times New Roman" w:cs="Times New Roman"/>
          <w:sz w:val="24"/>
          <w:szCs w:val="24"/>
        </w:rPr>
        <w:t xml:space="preserve">. </w:t>
      </w:r>
      <w:r w:rsidR="00E71A52">
        <w:rPr>
          <w:rFonts w:ascii="Times New Roman" w:hAnsi="Times New Roman" w:cs="Times New Roman"/>
          <w:sz w:val="24"/>
          <w:szCs w:val="24"/>
        </w:rPr>
        <w:t>To be fully effective, this might also require more pass through voting to the beneficiaries of the pension and investment funds that hold a significant portion of the shares of the corporations under study.  In any event, t</w:t>
      </w:r>
      <w:r>
        <w:rPr>
          <w:rFonts w:ascii="Times New Roman" w:hAnsi="Times New Roman" w:cs="Times New Roman"/>
          <w:sz w:val="24"/>
          <w:szCs w:val="24"/>
        </w:rPr>
        <w:t>he increased number of socially oriented non-binding precatory resolutions receiving a majority vote in recent years</w:t>
      </w:r>
      <w:bookmarkStart w:id="6" w:name="_Ref180702874"/>
      <w:r w:rsidR="00830B62">
        <w:rPr>
          <w:rStyle w:val="FootnoteReference"/>
          <w:rFonts w:ascii="Times New Roman" w:hAnsi="Times New Roman" w:cs="Times New Roman"/>
          <w:sz w:val="24"/>
          <w:szCs w:val="24"/>
        </w:rPr>
        <w:footnoteReference w:id="19"/>
      </w:r>
      <w:bookmarkEnd w:id="6"/>
      <w:r>
        <w:rPr>
          <w:rFonts w:ascii="Times New Roman" w:hAnsi="Times New Roman" w:cs="Times New Roman"/>
          <w:sz w:val="24"/>
          <w:szCs w:val="24"/>
        </w:rPr>
        <w:t xml:space="preserve"> suggests a real possibility that such reforms would indeed </w:t>
      </w:r>
      <w:r w:rsidR="00912B66">
        <w:rPr>
          <w:rFonts w:ascii="Times New Roman" w:hAnsi="Times New Roman" w:cs="Times New Roman"/>
          <w:sz w:val="24"/>
          <w:szCs w:val="24"/>
        </w:rPr>
        <w:t xml:space="preserve">lead </w:t>
      </w:r>
      <w:r>
        <w:rPr>
          <w:rFonts w:ascii="Times New Roman" w:hAnsi="Times New Roman" w:cs="Times New Roman"/>
          <w:sz w:val="24"/>
          <w:szCs w:val="24"/>
        </w:rPr>
        <w:t>to more occasions where the existence of such shareholders change</w:t>
      </w:r>
      <w:r w:rsidR="00912B66">
        <w:rPr>
          <w:rFonts w:ascii="Times New Roman" w:hAnsi="Times New Roman" w:cs="Times New Roman"/>
          <w:sz w:val="24"/>
          <w:szCs w:val="24"/>
        </w:rPr>
        <w:t>s firm</w:t>
      </w:r>
      <w:r>
        <w:rPr>
          <w:rFonts w:ascii="Times New Roman" w:hAnsi="Times New Roman" w:cs="Times New Roman"/>
          <w:sz w:val="24"/>
          <w:szCs w:val="24"/>
        </w:rPr>
        <w:t xml:space="preserve"> behavior</w:t>
      </w:r>
      <w:r w:rsidR="00796064">
        <w:rPr>
          <w:rFonts w:ascii="Times New Roman" w:hAnsi="Times New Roman" w:cs="Times New Roman"/>
          <w:sz w:val="24"/>
          <w:szCs w:val="24"/>
        </w:rPr>
        <w:t xml:space="preserve">. </w:t>
      </w:r>
    </w:p>
    <w:p w14:paraId="60DF238B" w14:textId="7D7744E0" w:rsidR="009B682C" w:rsidRPr="005E3083" w:rsidRDefault="00D35721" w:rsidP="0036070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As will be further developed in Part II, w</w:t>
      </w:r>
      <w:r w:rsidR="00912B66">
        <w:rPr>
          <w:rFonts w:ascii="Times New Roman" w:hAnsi="Times New Roman" w:cs="Times New Roman"/>
          <w:sz w:val="24"/>
          <w:szCs w:val="24"/>
        </w:rPr>
        <w:t xml:space="preserve">e view </w:t>
      </w:r>
      <w:r w:rsidR="009B682C">
        <w:rPr>
          <w:rFonts w:ascii="Times New Roman" w:hAnsi="Times New Roman" w:cs="Times New Roman"/>
          <w:sz w:val="24"/>
          <w:szCs w:val="24"/>
        </w:rPr>
        <w:t>th</w:t>
      </w:r>
      <w:r w:rsidR="00BA7D02">
        <w:rPr>
          <w:rFonts w:ascii="Times New Roman" w:hAnsi="Times New Roman" w:cs="Times New Roman"/>
          <w:sz w:val="24"/>
          <w:szCs w:val="24"/>
        </w:rPr>
        <w:t>e</w:t>
      </w:r>
      <w:r w:rsidR="009B682C">
        <w:rPr>
          <w:rFonts w:ascii="Times New Roman" w:hAnsi="Times New Roman" w:cs="Times New Roman"/>
          <w:sz w:val="24"/>
          <w:szCs w:val="24"/>
        </w:rPr>
        <w:t xml:space="preserve">se </w:t>
      </w:r>
      <w:r w:rsidR="00CB20C1">
        <w:rPr>
          <w:rFonts w:ascii="Times New Roman" w:hAnsi="Times New Roman" w:cs="Times New Roman"/>
          <w:sz w:val="24"/>
          <w:szCs w:val="24"/>
        </w:rPr>
        <w:t xml:space="preserve">seemingly </w:t>
      </w:r>
      <w:r w:rsidR="009B682C">
        <w:rPr>
          <w:rFonts w:ascii="Times New Roman" w:hAnsi="Times New Roman" w:cs="Times New Roman"/>
          <w:sz w:val="24"/>
          <w:szCs w:val="24"/>
        </w:rPr>
        <w:t xml:space="preserve">reasonable </w:t>
      </w:r>
      <w:r>
        <w:rPr>
          <w:rFonts w:ascii="Times New Roman" w:hAnsi="Times New Roman" w:cs="Times New Roman"/>
          <w:sz w:val="24"/>
          <w:szCs w:val="24"/>
        </w:rPr>
        <w:t>re</w:t>
      </w:r>
      <w:r w:rsidR="00D13951">
        <w:rPr>
          <w:rFonts w:ascii="Times New Roman" w:hAnsi="Times New Roman" w:cs="Times New Roman"/>
          <w:sz w:val="24"/>
          <w:szCs w:val="24"/>
        </w:rPr>
        <w:t>forms</w:t>
      </w:r>
      <w:r w:rsidR="009B682C">
        <w:rPr>
          <w:rFonts w:ascii="Times New Roman" w:hAnsi="Times New Roman" w:cs="Times New Roman"/>
          <w:sz w:val="24"/>
          <w:szCs w:val="24"/>
        </w:rPr>
        <w:t xml:space="preserve"> a</w:t>
      </w:r>
      <w:r w:rsidR="00912B66">
        <w:rPr>
          <w:rFonts w:ascii="Times New Roman" w:hAnsi="Times New Roman" w:cs="Times New Roman"/>
          <w:sz w:val="24"/>
          <w:szCs w:val="24"/>
        </w:rPr>
        <w:t>s</w:t>
      </w:r>
      <w:r w:rsidR="009B682C">
        <w:rPr>
          <w:rFonts w:ascii="Times New Roman" w:hAnsi="Times New Roman" w:cs="Times New Roman"/>
          <w:sz w:val="24"/>
          <w:szCs w:val="24"/>
        </w:rPr>
        <w:t xml:space="preserve"> </w:t>
      </w:r>
      <w:r w:rsidR="00310540">
        <w:rPr>
          <w:rFonts w:ascii="Times New Roman" w:hAnsi="Times New Roman" w:cs="Times New Roman"/>
          <w:sz w:val="24"/>
          <w:szCs w:val="24"/>
        </w:rPr>
        <w:t>un</w:t>
      </w:r>
      <w:r w:rsidR="009B682C">
        <w:rPr>
          <w:rFonts w:ascii="Times New Roman" w:hAnsi="Times New Roman" w:cs="Times New Roman"/>
          <w:sz w:val="24"/>
          <w:szCs w:val="24"/>
        </w:rPr>
        <w:t>wise for a number of reasons</w:t>
      </w:r>
      <w:r>
        <w:rPr>
          <w:rFonts w:ascii="Times New Roman" w:hAnsi="Times New Roman" w:cs="Times New Roman"/>
          <w:sz w:val="24"/>
          <w:szCs w:val="24"/>
        </w:rPr>
        <w:t>.</w:t>
      </w:r>
      <w:r w:rsidR="00796064">
        <w:rPr>
          <w:rFonts w:ascii="Times New Roman" w:hAnsi="Times New Roman" w:cs="Times New Roman"/>
          <w:sz w:val="24"/>
          <w:szCs w:val="24"/>
        </w:rPr>
        <w:t xml:space="preserve"> </w:t>
      </w:r>
      <w:r w:rsidR="009B682C">
        <w:rPr>
          <w:rFonts w:ascii="Times New Roman" w:hAnsi="Times New Roman" w:cs="Times New Roman"/>
          <w:sz w:val="24"/>
          <w:szCs w:val="24"/>
        </w:rPr>
        <w:t xml:space="preserve">In particular, </w:t>
      </w:r>
      <w:r>
        <w:rPr>
          <w:rFonts w:ascii="Times New Roman" w:hAnsi="Times New Roman" w:cs="Times New Roman"/>
          <w:sz w:val="24"/>
          <w:szCs w:val="24"/>
        </w:rPr>
        <w:t xml:space="preserve">for </w:t>
      </w:r>
      <w:r w:rsidR="009B682C">
        <w:rPr>
          <w:rFonts w:ascii="Times New Roman" w:hAnsi="Times New Roman" w:cs="Times New Roman"/>
          <w:sz w:val="24"/>
          <w:szCs w:val="24"/>
        </w:rPr>
        <w:t xml:space="preserve">such reforms </w:t>
      </w:r>
      <w:r>
        <w:rPr>
          <w:rFonts w:ascii="Times New Roman" w:hAnsi="Times New Roman" w:cs="Times New Roman"/>
          <w:sz w:val="24"/>
          <w:szCs w:val="24"/>
        </w:rPr>
        <w:t xml:space="preserve">to work, </w:t>
      </w:r>
      <w:r w:rsidR="009B682C">
        <w:rPr>
          <w:rFonts w:ascii="Times New Roman" w:hAnsi="Times New Roman" w:cs="Times New Roman"/>
          <w:sz w:val="24"/>
          <w:szCs w:val="24"/>
        </w:rPr>
        <w:t>in essence an alternative political system</w:t>
      </w:r>
      <w:r>
        <w:rPr>
          <w:rFonts w:ascii="Times New Roman" w:hAnsi="Times New Roman" w:cs="Times New Roman"/>
          <w:sz w:val="24"/>
          <w:szCs w:val="24"/>
        </w:rPr>
        <w:t xml:space="preserve"> needs to be created</w:t>
      </w:r>
      <w:r w:rsidR="001A589E">
        <w:rPr>
          <w:rFonts w:ascii="Times New Roman" w:hAnsi="Times New Roman" w:cs="Times New Roman"/>
          <w:sz w:val="24"/>
          <w:szCs w:val="24"/>
        </w:rPr>
        <w:t xml:space="preserve"> relating to each publicly traded corporation</w:t>
      </w:r>
      <w:r w:rsidR="00C67CEA">
        <w:rPr>
          <w:rFonts w:ascii="Times New Roman" w:hAnsi="Times New Roman" w:cs="Times New Roman"/>
          <w:sz w:val="24"/>
          <w:szCs w:val="24"/>
        </w:rPr>
        <w:t xml:space="preserve">.   Just like with the governmental </w:t>
      </w:r>
      <w:r w:rsidR="009B682C">
        <w:rPr>
          <w:rFonts w:ascii="Times New Roman" w:hAnsi="Times New Roman" w:cs="Times New Roman"/>
          <w:sz w:val="24"/>
          <w:szCs w:val="24"/>
        </w:rPr>
        <w:t>political system</w:t>
      </w:r>
      <w:r w:rsidR="00C67CEA">
        <w:rPr>
          <w:rFonts w:ascii="Times New Roman" w:hAnsi="Times New Roman" w:cs="Times New Roman"/>
          <w:sz w:val="24"/>
          <w:szCs w:val="24"/>
        </w:rPr>
        <w:t xml:space="preserve">, </w:t>
      </w:r>
      <w:r>
        <w:rPr>
          <w:rFonts w:ascii="Times New Roman" w:hAnsi="Times New Roman" w:cs="Times New Roman"/>
          <w:sz w:val="24"/>
          <w:szCs w:val="24"/>
        </w:rPr>
        <w:t>in th</w:t>
      </w:r>
      <w:r w:rsidR="001A589E">
        <w:rPr>
          <w:rFonts w:ascii="Times New Roman" w:hAnsi="Times New Roman" w:cs="Times New Roman"/>
          <w:sz w:val="24"/>
          <w:szCs w:val="24"/>
        </w:rPr>
        <w:t>e</w:t>
      </w:r>
      <w:r>
        <w:rPr>
          <w:rFonts w:ascii="Times New Roman" w:hAnsi="Times New Roman" w:cs="Times New Roman"/>
          <w:sz w:val="24"/>
          <w:szCs w:val="24"/>
        </w:rPr>
        <w:t>s</w:t>
      </w:r>
      <w:r w:rsidR="001A589E">
        <w:rPr>
          <w:rFonts w:ascii="Times New Roman" w:hAnsi="Times New Roman" w:cs="Times New Roman"/>
          <w:sz w:val="24"/>
          <w:szCs w:val="24"/>
        </w:rPr>
        <w:t>e</w:t>
      </w:r>
      <w:r>
        <w:rPr>
          <w:rFonts w:ascii="Times New Roman" w:hAnsi="Times New Roman" w:cs="Times New Roman"/>
          <w:sz w:val="24"/>
          <w:szCs w:val="24"/>
        </w:rPr>
        <w:t xml:space="preserve"> alternative political system</w:t>
      </w:r>
      <w:r w:rsidR="001A589E">
        <w:rPr>
          <w:rFonts w:ascii="Times New Roman" w:hAnsi="Times New Roman" w:cs="Times New Roman"/>
          <w:sz w:val="24"/>
          <w:szCs w:val="24"/>
        </w:rPr>
        <w:t>s</w:t>
      </w:r>
      <w:r>
        <w:rPr>
          <w:rFonts w:ascii="Times New Roman" w:hAnsi="Times New Roman" w:cs="Times New Roman"/>
          <w:sz w:val="24"/>
          <w:szCs w:val="24"/>
        </w:rPr>
        <w:t xml:space="preserve">, </w:t>
      </w:r>
      <w:r w:rsidR="00C67CEA">
        <w:rPr>
          <w:rFonts w:ascii="Times New Roman" w:hAnsi="Times New Roman" w:cs="Times New Roman"/>
          <w:sz w:val="24"/>
          <w:szCs w:val="24"/>
        </w:rPr>
        <w:t xml:space="preserve">the process by which </w:t>
      </w:r>
      <w:r w:rsidR="00C67CEA">
        <w:rPr>
          <w:rFonts w:ascii="Times New Roman" w:hAnsi="Times New Roman" w:cs="Times New Roman"/>
          <w:sz w:val="24"/>
          <w:szCs w:val="24"/>
        </w:rPr>
        <w:lastRenderedPageBreak/>
        <w:t xml:space="preserve">corporate </w:t>
      </w:r>
      <w:r w:rsidR="009B682C">
        <w:rPr>
          <w:rFonts w:ascii="Times New Roman" w:hAnsi="Times New Roman" w:cs="Times New Roman"/>
          <w:sz w:val="24"/>
          <w:szCs w:val="24"/>
        </w:rPr>
        <w:t>voters becom</w:t>
      </w:r>
      <w:r w:rsidR="00C67CEA">
        <w:rPr>
          <w:rFonts w:ascii="Times New Roman" w:hAnsi="Times New Roman" w:cs="Times New Roman"/>
          <w:sz w:val="24"/>
          <w:szCs w:val="24"/>
        </w:rPr>
        <w:t>e</w:t>
      </w:r>
      <w:r w:rsidR="009B682C">
        <w:rPr>
          <w:rFonts w:ascii="Times New Roman" w:hAnsi="Times New Roman" w:cs="Times New Roman"/>
          <w:sz w:val="24"/>
          <w:szCs w:val="24"/>
        </w:rPr>
        <w:t xml:space="preserve"> informed and their</w:t>
      </w:r>
      <w:r w:rsidR="00C67CEA">
        <w:rPr>
          <w:rFonts w:ascii="Times New Roman" w:hAnsi="Times New Roman" w:cs="Times New Roman"/>
          <w:sz w:val="24"/>
          <w:szCs w:val="24"/>
        </w:rPr>
        <w:t xml:space="preserve"> votes</w:t>
      </w:r>
      <w:r w:rsidR="00912B66">
        <w:rPr>
          <w:rFonts w:ascii="Times New Roman" w:hAnsi="Times New Roman" w:cs="Times New Roman"/>
          <w:sz w:val="24"/>
          <w:szCs w:val="24"/>
        </w:rPr>
        <w:t xml:space="preserve"> </w:t>
      </w:r>
      <w:r w:rsidR="009B682C">
        <w:rPr>
          <w:rFonts w:ascii="Times New Roman" w:hAnsi="Times New Roman" w:cs="Times New Roman"/>
          <w:sz w:val="24"/>
          <w:szCs w:val="24"/>
        </w:rPr>
        <w:t>mobilized</w:t>
      </w:r>
      <w:r w:rsidR="00C67CEA">
        <w:rPr>
          <w:rFonts w:ascii="Times New Roman" w:hAnsi="Times New Roman" w:cs="Times New Roman"/>
          <w:sz w:val="24"/>
          <w:szCs w:val="24"/>
        </w:rPr>
        <w:t xml:space="preserve"> would consume substantial resources</w:t>
      </w:r>
      <w:r w:rsidR="001A589E">
        <w:rPr>
          <w:rFonts w:ascii="Times New Roman" w:hAnsi="Times New Roman" w:cs="Times New Roman"/>
          <w:sz w:val="24"/>
          <w:szCs w:val="24"/>
        </w:rPr>
        <w:t xml:space="preserve"> and req</w:t>
      </w:r>
      <w:r w:rsidR="000D6CDC">
        <w:rPr>
          <w:rFonts w:ascii="Times New Roman" w:hAnsi="Times New Roman" w:cs="Times New Roman"/>
          <w:sz w:val="24"/>
          <w:szCs w:val="24"/>
        </w:rPr>
        <w:t>u</w:t>
      </w:r>
      <w:r w:rsidR="001A589E">
        <w:rPr>
          <w:rFonts w:ascii="Times New Roman" w:hAnsi="Times New Roman" w:cs="Times New Roman"/>
          <w:sz w:val="24"/>
          <w:szCs w:val="24"/>
        </w:rPr>
        <w:t>ire considerable energy from public spirited persons</w:t>
      </w:r>
      <w:r w:rsidR="00796064">
        <w:rPr>
          <w:rFonts w:ascii="Times New Roman" w:hAnsi="Times New Roman" w:cs="Times New Roman"/>
          <w:sz w:val="24"/>
          <w:szCs w:val="24"/>
        </w:rPr>
        <w:t xml:space="preserve">. </w:t>
      </w:r>
      <w:r w:rsidR="00974C64">
        <w:rPr>
          <w:rFonts w:ascii="Times New Roman" w:hAnsi="Times New Roman" w:cs="Times New Roman"/>
          <w:sz w:val="24"/>
          <w:szCs w:val="24"/>
        </w:rPr>
        <w:t>Th</w:t>
      </w:r>
      <w:r w:rsidR="001A589E">
        <w:rPr>
          <w:rFonts w:ascii="Times New Roman" w:hAnsi="Times New Roman" w:cs="Times New Roman"/>
          <w:sz w:val="24"/>
          <w:szCs w:val="24"/>
        </w:rPr>
        <w:t xml:space="preserve">is need for resources and energy </w:t>
      </w:r>
      <w:r w:rsidR="00974C64">
        <w:rPr>
          <w:rFonts w:ascii="Times New Roman" w:hAnsi="Times New Roman" w:cs="Times New Roman"/>
          <w:sz w:val="24"/>
          <w:szCs w:val="24"/>
        </w:rPr>
        <w:t xml:space="preserve">suggests </w:t>
      </w:r>
      <w:r w:rsidR="001A589E">
        <w:rPr>
          <w:rFonts w:ascii="Times New Roman" w:hAnsi="Times New Roman" w:cs="Times New Roman"/>
          <w:sz w:val="24"/>
          <w:szCs w:val="24"/>
        </w:rPr>
        <w:t xml:space="preserve">that the adoption of these reforms may not lead to as much change in corporate behavior as their proponents hope.  And to the extent that the reforms are responsible for significant change, that may come at an under recognized cost.  </w:t>
      </w:r>
      <w:r w:rsidR="00912B66">
        <w:rPr>
          <w:rFonts w:ascii="Times New Roman" w:hAnsi="Times New Roman" w:cs="Times New Roman"/>
          <w:sz w:val="24"/>
          <w:szCs w:val="24"/>
        </w:rPr>
        <w:t>The</w:t>
      </w:r>
      <w:r w:rsidR="005A4739">
        <w:rPr>
          <w:rFonts w:ascii="Times New Roman" w:hAnsi="Times New Roman" w:cs="Times New Roman"/>
          <w:sz w:val="24"/>
          <w:szCs w:val="24"/>
        </w:rPr>
        <w:t xml:space="preserve"> development of this alternative political system</w:t>
      </w:r>
      <w:r w:rsidR="00912B66">
        <w:rPr>
          <w:rFonts w:ascii="Times New Roman" w:hAnsi="Times New Roman" w:cs="Times New Roman"/>
          <w:sz w:val="24"/>
          <w:szCs w:val="24"/>
        </w:rPr>
        <w:t xml:space="preserve"> would not occur in a vacuum. The energies of persons seeking to </w:t>
      </w:r>
      <w:r w:rsidR="009B682C">
        <w:rPr>
          <w:rFonts w:ascii="Times New Roman" w:hAnsi="Times New Roman" w:cs="Times New Roman"/>
          <w:sz w:val="24"/>
          <w:szCs w:val="24"/>
        </w:rPr>
        <w:t>reform corporate behavior</w:t>
      </w:r>
      <w:r w:rsidR="00912B66">
        <w:rPr>
          <w:rFonts w:ascii="Times New Roman" w:hAnsi="Times New Roman" w:cs="Times New Roman"/>
          <w:sz w:val="24"/>
          <w:szCs w:val="24"/>
        </w:rPr>
        <w:t xml:space="preserve"> to meet social ends are finite and they will need to decide where to dedicate these energies.</w:t>
      </w:r>
      <w:r w:rsidR="00310540">
        <w:rPr>
          <w:rFonts w:ascii="Times New Roman" w:hAnsi="Times New Roman" w:cs="Times New Roman"/>
          <w:sz w:val="24"/>
          <w:szCs w:val="24"/>
        </w:rPr>
        <w:t xml:space="preserve"> </w:t>
      </w:r>
      <w:r w:rsidR="00912B66">
        <w:rPr>
          <w:rFonts w:ascii="Times New Roman" w:hAnsi="Times New Roman" w:cs="Times New Roman"/>
          <w:sz w:val="24"/>
          <w:szCs w:val="24"/>
        </w:rPr>
        <w:t xml:space="preserve">If </w:t>
      </w:r>
      <w:r w:rsidR="00310540">
        <w:rPr>
          <w:rFonts w:ascii="Times New Roman" w:hAnsi="Times New Roman" w:cs="Times New Roman"/>
          <w:sz w:val="24"/>
          <w:szCs w:val="24"/>
        </w:rPr>
        <w:t xml:space="preserve">shareholders </w:t>
      </w:r>
      <w:r w:rsidR="00912B66">
        <w:rPr>
          <w:rFonts w:ascii="Times New Roman" w:hAnsi="Times New Roman" w:cs="Times New Roman"/>
          <w:sz w:val="24"/>
          <w:szCs w:val="24"/>
        </w:rPr>
        <w:t xml:space="preserve">are allowed </w:t>
      </w:r>
      <w:r w:rsidR="00310540">
        <w:rPr>
          <w:rFonts w:ascii="Times New Roman" w:hAnsi="Times New Roman" w:cs="Times New Roman"/>
          <w:sz w:val="24"/>
          <w:szCs w:val="24"/>
        </w:rPr>
        <w:t>to use the franchise to bind management to specific corporate behavior</w:t>
      </w:r>
      <w:r w:rsidR="009B682C">
        <w:rPr>
          <w:rFonts w:ascii="Times New Roman" w:hAnsi="Times New Roman" w:cs="Times New Roman"/>
          <w:sz w:val="24"/>
          <w:szCs w:val="24"/>
        </w:rPr>
        <w:t>, th</w:t>
      </w:r>
      <w:r w:rsidR="00CA3E00">
        <w:rPr>
          <w:rFonts w:ascii="Times New Roman" w:hAnsi="Times New Roman" w:cs="Times New Roman"/>
          <w:sz w:val="24"/>
          <w:szCs w:val="24"/>
        </w:rPr>
        <w:t xml:space="preserve">ese redirected energies </w:t>
      </w:r>
      <w:r w:rsidR="009B682C">
        <w:rPr>
          <w:rFonts w:ascii="Times New Roman" w:hAnsi="Times New Roman" w:cs="Times New Roman"/>
          <w:sz w:val="24"/>
          <w:szCs w:val="24"/>
        </w:rPr>
        <w:t>are likely to come at the expense of efforts to reform the governmental political system and to push that system to better control corporate externalities and to achieve more equity in society</w:t>
      </w:r>
      <w:r w:rsidR="00796064">
        <w:rPr>
          <w:rFonts w:ascii="Times New Roman" w:hAnsi="Times New Roman" w:cs="Times New Roman"/>
          <w:sz w:val="24"/>
          <w:szCs w:val="24"/>
        </w:rPr>
        <w:t xml:space="preserve">. </w:t>
      </w:r>
      <w:r w:rsidR="00CA3E00">
        <w:rPr>
          <w:rFonts w:ascii="Times New Roman" w:hAnsi="Times New Roman" w:cs="Times New Roman"/>
          <w:sz w:val="24"/>
          <w:szCs w:val="24"/>
        </w:rPr>
        <w:t>Despite current frustrations, these energies will likely more efficiently achieve the ends that reformers seek if channeled into the public sphere</w:t>
      </w:r>
      <w:r w:rsidR="00A340B7">
        <w:rPr>
          <w:rFonts w:ascii="Times New Roman" w:hAnsi="Times New Roman" w:cs="Times New Roman"/>
          <w:sz w:val="24"/>
          <w:szCs w:val="24"/>
        </w:rPr>
        <w:t>.  There</w:t>
      </w:r>
      <w:r w:rsidR="00CA3E00">
        <w:rPr>
          <w:rFonts w:ascii="Times New Roman" w:hAnsi="Times New Roman" w:cs="Times New Roman"/>
          <w:sz w:val="24"/>
          <w:szCs w:val="24"/>
        </w:rPr>
        <w:t xml:space="preserve"> they can </w:t>
      </w:r>
      <w:r w:rsidR="00A340B7">
        <w:rPr>
          <w:rFonts w:ascii="Times New Roman" w:hAnsi="Times New Roman" w:cs="Times New Roman"/>
          <w:sz w:val="24"/>
          <w:szCs w:val="24"/>
        </w:rPr>
        <w:t xml:space="preserve">be concentrated to </w:t>
      </w:r>
      <w:r w:rsidR="00CA3E00">
        <w:rPr>
          <w:rFonts w:ascii="Times New Roman" w:hAnsi="Times New Roman" w:cs="Times New Roman"/>
          <w:sz w:val="24"/>
          <w:szCs w:val="24"/>
        </w:rPr>
        <w:t>affect the behaviors of a broad swath of firms</w:t>
      </w:r>
      <w:r w:rsidR="00A340B7">
        <w:rPr>
          <w:rFonts w:ascii="Times New Roman" w:hAnsi="Times New Roman" w:cs="Times New Roman"/>
          <w:sz w:val="24"/>
          <w:szCs w:val="24"/>
        </w:rPr>
        <w:t xml:space="preserve">, rather than being dispersed </w:t>
      </w:r>
      <w:r w:rsidR="00CA3E00">
        <w:rPr>
          <w:rFonts w:ascii="Times New Roman" w:hAnsi="Times New Roman" w:cs="Times New Roman"/>
          <w:sz w:val="24"/>
          <w:szCs w:val="24"/>
        </w:rPr>
        <w:t xml:space="preserve">among piece-meal battles affecting </w:t>
      </w:r>
      <w:r w:rsidR="00D13951">
        <w:rPr>
          <w:rFonts w:ascii="Times New Roman" w:hAnsi="Times New Roman" w:cs="Times New Roman"/>
          <w:sz w:val="24"/>
          <w:szCs w:val="24"/>
        </w:rPr>
        <w:t xml:space="preserve">many </w:t>
      </w:r>
      <w:r w:rsidR="00CA3E00">
        <w:rPr>
          <w:rFonts w:ascii="Times New Roman" w:hAnsi="Times New Roman" w:cs="Times New Roman"/>
          <w:sz w:val="24"/>
          <w:szCs w:val="24"/>
        </w:rPr>
        <w:t>individual firms</w:t>
      </w:r>
      <w:r w:rsidR="00796064">
        <w:rPr>
          <w:rFonts w:ascii="Times New Roman" w:hAnsi="Times New Roman" w:cs="Times New Roman"/>
          <w:sz w:val="24"/>
          <w:szCs w:val="24"/>
        </w:rPr>
        <w:t xml:space="preserve">. </w:t>
      </w:r>
      <w:r w:rsidR="009B682C">
        <w:rPr>
          <w:rFonts w:ascii="Times New Roman" w:hAnsi="Times New Roman" w:cs="Times New Roman"/>
          <w:sz w:val="24"/>
          <w:szCs w:val="24"/>
        </w:rPr>
        <w:t>Also, for these reforms to work, they likely will require a relaxation of the governance system’s current constraints on management</w:t>
      </w:r>
      <w:r w:rsidR="00A340B7">
        <w:rPr>
          <w:rFonts w:ascii="Times New Roman" w:hAnsi="Times New Roman" w:cs="Times New Roman"/>
          <w:sz w:val="24"/>
          <w:szCs w:val="24"/>
        </w:rPr>
        <w:t xml:space="preserve">.  That </w:t>
      </w:r>
      <w:r w:rsidR="005A4739">
        <w:rPr>
          <w:rFonts w:ascii="Times New Roman" w:hAnsi="Times New Roman" w:cs="Times New Roman"/>
          <w:sz w:val="24"/>
          <w:szCs w:val="24"/>
        </w:rPr>
        <w:t xml:space="preserve">will </w:t>
      </w:r>
      <w:r w:rsidR="00A340B7">
        <w:rPr>
          <w:rFonts w:ascii="Times New Roman" w:hAnsi="Times New Roman" w:cs="Times New Roman"/>
          <w:sz w:val="24"/>
          <w:szCs w:val="24"/>
        </w:rPr>
        <w:t xml:space="preserve">often </w:t>
      </w:r>
      <w:r w:rsidR="009B682C">
        <w:rPr>
          <w:rFonts w:ascii="Times New Roman" w:hAnsi="Times New Roman" w:cs="Times New Roman"/>
          <w:sz w:val="24"/>
          <w:szCs w:val="24"/>
        </w:rPr>
        <w:t xml:space="preserve">lead to corporate behaviors that benefit managers in ways that sacrifice share value without advancing any kind of social ends. </w:t>
      </w:r>
    </w:p>
    <w:p w14:paraId="6B6369C1" w14:textId="22BBCA10" w:rsidR="009B682C" w:rsidRDefault="009B682C" w:rsidP="009B682C">
      <w:pPr>
        <w:spacing w:after="0" w:line="480" w:lineRule="auto"/>
        <w:jc w:val="both"/>
        <w:rPr>
          <w:rFonts w:ascii="Times New Roman" w:hAnsi="Times New Roman" w:cs="Times New Roman"/>
          <w:sz w:val="24"/>
          <w:szCs w:val="24"/>
        </w:rPr>
      </w:pPr>
      <w:r w:rsidRPr="005E3083">
        <w:rPr>
          <w:rFonts w:ascii="Times New Roman" w:hAnsi="Times New Roman" w:cs="Times New Roman"/>
          <w:sz w:val="24"/>
          <w:szCs w:val="24"/>
        </w:rPr>
        <w:tab/>
      </w:r>
      <w:r>
        <w:rPr>
          <w:rFonts w:ascii="Times New Roman" w:hAnsi="Times New Roman" w:cs="Times New Roman"/>
          <w:sz w:val="24"/>
          <w:szCs w:val="24"/>
        </w:rPr>
        <w:t>In Part III, we engage in the second stage of the analysis and add in the possibility that some investors will be influenced in composing their portfolios by whether they approve of a given firm’s behavior</w:t>
      </w:r>
      <w:r w:rsidR="00796064">
        <w:rPr>
          <w:rFonts w:ascii="Times New Roman" w:hAnsi="Times New Roman" w:cs="Times New Roman"/>
          <w:sz w:val="24"/>
          <w:szCs w:val="24"/>
        </w:rPr>
        <w:t xml:space="preserve">. </w:t>
      </w:r>
      <w:r>
        <w:rPr>
          <w:rFonts w:ascii="Times New Roman" w:hAnsi="Times New Roman" w:cs="Times New Roman"/>
          <w:sz w:val="24"/>
          <w:szCs w:val="24"/>
        </w:rPr>
        <w:t xml:space="preserve">Relative to composing a portfolio on purely financial grounds, this may take the form of not holding the shares of firms </w:t>
      </w:r>
      <w:r w:rsidR="00D13951">
        <w:rPr>
          <w:rFonts w:ascii="Times New Roman" w:hAnsi="Times New Roman" w:cs="Times New Roman"/>
          <w:sz w:val="24"/>
          <w:szCs w:val="24"/>
        </w:rPr>
        <w:t>the behavior of which the</w:t>
      </w:r>
      <w:r>
        <w:rPr>
          <w:rFonts w:ascii="Times New Roman" w:hAnsi="Times New Roman" w:cs="Times New Roman"/>
          <w:sz w:val="24"/>
          <w:szCs w:val="24"/>
        </w:rPr>
        <w:t xml:space="preserve"> investor disapproves of (“identity investing”)</w:t>
      </w:r>
      <w:r w:rsidR="00D13951">
        <w:rPr>
          <w:rFonts w:ascii="Times New Roman" w:hAnsi="Times New Roman" w:cs="Times New Roman"/>
          <w:sz w:val="24"/>
          <w:szCs w:val="24"/>
        </w:rPr>
        <w:t>.  Or it could take the form of</w:t>
      </w:r>
      <w:r>
        <w:rPr>
          <w:rFonts w:ascii="Times New Roman" w:hAnsi="Times New Roman" w:cs="Times New Roman"/>
          <w:sz w:val="24"/>
          <w:szCs w:val="24"/>
        </w:rPr>
        <w:t xml:space="preserve"> affirmatively seeking to hold the shares of firms </w:t>
      </w:r>
      <w:r w:rsidR="00D13951">
        <w:rPr>
          <w:rFonts w:ascii="Times New Roman" w:hAnsi="Times New Roman" w:cs="Times New Roman"/>
          <w:sz w:val="24"/>
          <w:szCs w:val="24"/>
        </w:rPr>
        <w:t xml:space="preserve">the </w:t>
      </w:r>
      <w:r>
        <w:rPr>
          <w:rFonts w:ascii="Times New Roman" w:hAnsi="Times New Roman" w:cs="Times New Roman"/>
          <w:sz w:val="24"/>
          <w:szCs w:val="24"/>
        </w:rPr>
        <w:t xml:space="preserve">behavior </w:t>
      </w:r>
      <w:r w:rsidR="00D13951">
        <w:rPr>
          <w:rFonts w:ascii="Times New Roman" w:hAnsi="Times New Roman" w:cs="Times New Roman"/>
          <w:sz w:val="24"/>
          <w:szCs w:val="24"/>
        </w:rPr>
        <w:t xml:space="preserve">of which </w:t>
      </w:r>
      <w:r>
        <w:rPr>
          <w:rFonts w:ascii="Times New Roman" w:hAnsi="Times New Roman" w:cs="Times New Roman"/>
          <w:sz w:val="24"/>
          <w:szCs w:val="24"/>
        </w:rPr>
        <w:t>the investor disapprove</w:t>
      </w:r>
      <w:r w:rsidR="00D13951">
        <w:rPr>
          <w:rFonts w:ascii="Times New Roman" w:hAnsi="Times New Roman" w:cs="Times New Roman"/>
          <w:sz w:val="24"/>
          <w:szCs w:val="24"/>
        </w:rPr>
        <w:t>s</w:t>
      </w:r>
      <w:r>
        <w:rPr>
          <w:rFonts w:ascii="Times New Roman" w:hAnsi="Times New Roman" w:cs="Times New Roman"/>
          <w:sz w:val="24"/>
          <w:szCs w:val="24"/>
        </w:rPr>
        <w:t xml:space="preserve"> in order to change that behavior toward promoting </w:t>
      </w:r>
      <w:r>
        <w:rPr>
          <w:rFonts w:ascii="Times New Roman" w:hAnsi="Times New Roman" w:cs="Times New Roman"/>
          <w:sz w:val="24"/>
          <w:szCs w:val="24"/>
        </w:rPr>
        <w:lastRenderedPageBreak/>
        <w:t xml:space="preserve">some share-value-sacrificing social end (“transformative investing”). We argue that despite some institutional investor justifications for resisting divestment on the grounds that they </w:t>
      </w:r>
      <w:r w:rsidR="00472673">
        <w:rPr>
          <w:rFonts w:ascii="Times New Roman" w:hAnsi="Times New Roman" w:cs="Times New Roman"/>
          <w:sz w:val="24"/>
          <w:szCs w:val="24"/>
        </w:rPr>
        <w:t xml:space="preserve">have a greater </w:t>
      </w:r>
      <w:r w:rsidR="00CE23B6">
        <w:rPr>
          <w:rFonts w:ascii="Times New Roman" w:hAnsi="Times New Roman" w:cs="Times New Roman"/>
          <w:sz w:val="24"/>
          <w:szCs w:val="24"/>
        </w:rPr>
        <w:t>ability to</w:t>
      </w:r>
      <w:r w:rsidR="00472673">
        <w:rPr>
          <w:rFonts w:ascii="Times New Roman" w:hAnsi="Times New Roman" w:cs="Times New Roman"/>
          <w:sz w:val="24"/>
          <w:szCs w:val="24"/>
        </w:rPr>
        <w:t xml:space="preserve"> transform corporate behavior by </w:t>
      </w:r>
      <w:r>
        <w:rPr>
          <w:rFonts w:ascii="Times New Roman" w:hAnsi="Times New Roman" w:cs="Times New Roman"/>
          <w:sz w:val="24"/>
          <w:szCs w:val="24"/>
        </w:rPr>
        <w:t>“reforming from within,” genuine transformative investing is relatively rare because it involves holding the shares of a firm the investor would not hold for ordinary financial reasons based on the slim prospect that the firm has enough other transformative investors interested in the same share-value-sacrificing end that they will be able to vote a change in behavior</w:t>
      </w:r>
      <w:r w:rsidR="00796064">
        <w:rPr>
          <w:rFonts w:ascii="Times New Roman" w:hAnsi="Times New Roman" w:cs="Times New Roman"/>
          <w:sz w:val="24"/>
          <w:szCs w:val="24"/>
        </w:rPr>
        <w:t xml:space="preserve">. </w:t>
      </w:r>
    </w:p>
    <w:p w14:paraId="250833C0" w14:textId="50E29ED5" w:rsidR="00360709" w:rsidRDefault="009B682C" w:rsidP="009B682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Identity investing appears to be </w:t>
      </w:r>
      <w:r w:rsidR="00983CD4">
        <w:rPr>
          <w:rFonts w:ascii="Times New Roman" w:hAnsi="Times New Roman" w:cs="Times New Roman"/>
          <w:sz w:val="24"/>
          <w:szCs w:val="24"/>
        </w:rPr>
        <w:t>more</w:t>
      </w:r>
      <w:r w:rsidR="00C4705E">
        <w:rPr>
          <w:rFonts w:ascii="Times New Roman" w:hAnsi="Times New Roman" w:cs="Times New Roman"/>
          <w:sz w:val="24"/>
          <w:szCs w:val="24"/>
        </w:rPr>
        <w:t xml:space="preserve"> common</w:t>
      </w:r>
      <w:r>
        <w:rPr>
          <w:rFonts w:ascii="Times New Roman" w:hAnsi="Times New Roman" w:cs="Times New Roman"/>
          <w:sz w:val="24"/>
          <w:szCs w:val="24"/>
        </w:rPr>
        <w:t xml:space="preserve">. </w:t>
      </w:r>
      <w:r w:rsidR="00D13951">
        <w:rPr>
          <w:rFonts w:ascii="Times New Roman" w:hAnsi="Times New Roman" w:cs="Times New Roman"/>
          <w:sz w:val="24"/>
          <w:szCs w:val="24"/>
        </w:rPr>
        <w:t xml:space="preserve"> What,</w:t>
      </w:r>
      <w:r w:rsidR="00C4705E">
        <w:rPr>
          <w:rFonts w:ascii="Times New Roman" w:hAnsi="Times New Roman" w:cs="Times New Roman"/>
          <w:sz w:val="24"/>
          <w:szCs w:val="24"/>
        </w:rPr>
        <w:t xml:space="preserve"> though, are its effects on corporate behavior?</w:t>
      </w:r>
      <w:r w:rsidR="00D13951">
        <w:rPr>
          <w:rFonts w:ascii="Times New Roman" w:hAnsi="Times New Roman" w:cs="Times New Roman"/>
          <w:sz w:val="24"/>
          <w:szCs w:val="24"/>
        </w:rPr>
        <w:t xml:space="preserve">  </w:t>
      </w:r>
      <w:r>
        <w:rPr>
          <w:rFonts w:ascii="Times New Roman" w:hAnsi="Times New Roman" w:cs="Times New Roman"/>
          <w:sz w:val="24"/>
          <w:szCs w:val="24"/>
        </w:rPr>
        <w:t>On the one hand, identity investors have</w:t>
      </w:r>
      <w:r w:rsidR="00C4705E">
        <w:rPr>
          <w:rFonts w:ascii="Times New Roman" w:hAnsi="Times New Roman" w:cs="Times New Roman"/>
          <w:sz w:val="24"/>
          <w:szCs w:val="24"/>
        </w:rPr>
        <w:t>,</w:t>
      </w:r>
      <w:r>
        <w:rPr>
          <w:rFonts w:ascii="Times New Roman" w:hAnsi="Times New Roman" w:cs="Times New Roman"/>
          <w:sz w:val="24"/>
          <w:szCs w:val="24"/>
        </w:rPr>
        <w:t xml:space="preserve"> by their very choice of portfolio composition</w:t>
      </w:r>
      <w:r w:rsidR="00C4705E">
        <w:rPr>
          <w:rFonts w:ascii="Times New Roman" w:hAnsi="Times New Roman" w:cs="Times New Roman"/>
          <w:sz w:val="24"/>
          <w:szCs w:val="24"/>
        </w:rPr>
        <w:t>,</w:t>
      </w:r>
      <w:r>
        <w:rPr>
          <w:rFonts w:ascii="Times New Roman" w:hAnsi="Times New Roman" w:cs="Times New Roman"/>
          <w:sz w:val="24"/>
          <w:szCs w:val="24"/>
        </w:rPr>
        <w:t xml:space="preserve"> forgo</w:t>
      </w:r>
      <w:r w:rsidR="00B0708A">
        <w:rPr>
          <w:rFonts w:ascii="Times New Roman" w:hAnsi="Times New Roman" w:cs="Times New Roman"/>
          <w:sz w:val="24"/>
          <w:szCs w:val="24"/>
        </w:rPr>
        <w:t>ne</w:t>
      </w:r>
      <w:r>
        <w:rPr>
          <w:rFonts w:ascii="Times New Roman" w:hAnsi="Times New Roman" w:cs="Times New Roman"/>
          <w:sz w:val="24"/>
          <w:szCs w:val="24"/>
        </w:rPr>
        <w:t xml:space="preserve"> the possibility of voting to change the behavior of the firms of which they disapprove</w:t>
      </w:r>
      <w:r w:rsidR="00C4705E">
        <w:rPr>
          <w:rFonts w:ascii="Times New Roman" w:hAnsi="Times New Roman" w:cs="Times New Roman"/>
          <w:sz w:val="24"/>
          <w:szCs w:val="24"/>
        </w:rPr>
        <w:t>.</w:t>
      </w:r>
      <w:r>
        <w:rPr>
          <w:rFonts w:ascii="Times New Roman" w:hAnsi="Times New Roman" w:cs="Times New Roman"/>
          <w:sz w:val="24"/>
          <w:szCs w:val="24"/>
        </w:rPr>
        <w:t xml:space="preserve"> </w:t>
      </w:r>
      <w:r w:rsidR="00C4705E">
        <w:rPr>
          <w:rFonts w:ascii="Times New Roman" w:hAnsi="Times New Roman" w:cs="Times New Roman"/>
          <w:sz w:val="24"/>
          <w:szCs w:val="24"/>
        </w:rPr>
        <w:t>This i</w:t>
      </w:r>
      <w:r>
        <w:rPr>
          <w:rFonts w:ascii="Times New Roman" w:hAnsi="Times New Roman" w:cs="Times New Roman"/>
          <w:sz w:val="24"/>
          <w:szCs w:val="24"/>
        </w:rPr>
        <w:t>s why dropping the analysis of Part II first-stage assumptions actually reinforce</w:t>
      </w:r>
      <w:r w:rsidR="00472673">
        <w:rPr>
          <w:rFonts w:ascii="Times New Roman" w:hAnsi="Times New Roman" w:cs="Times New Roman"/>
          <w:sz w:val="24"/>
          <w:szCs w:val="24"/>
        </w:rPr>
        <w:t>s</w:t>
      </w:r>
      <w:r>
        <w:rPr>
          <w:rFonts w:ascii="Times New Roman" w:hAnsi="Times New Roman" w:cs="Times New Roman"/>
          <w:sz w:val="24"/>
          <w:szCs w:val="24"/>
        </w:rPr>
        <w:t xml:space="preserve"> our conclusions that under existing corporate arrangements, the existence of investors preferring share-value-sacrificing ends is unlikely to meaningfully affect corporate behavior</w:t>
      </w:r>
      <w:r w:rsidR="00F5147C">
        <w:rPr>
          <w:rFonts w:ascii="Times New Roman" w:hAnsi="Times New Roman" w:cs="Times New Roman"/>
          <w:sz w:val="24"/>
          <w:szCs w:val="24"/>
        </w:rPr>
        <w:t xml:space="preserve"> through the franchise</w:t>
      </w:r>
      <w:r>
        <w:rPr>
          <w:rFonts w:ascii="Times New Roman" w:hAnsi="Times New Roman" w:cs="Times New Roman"/>
          <w:sz w:val="24"/>
          <w:szCs w:val="24"/>
        </w:rPr>
        <w:t>. On the other hand, if identity investors favoring a particular share</w:t>
      </w:r>
      <w:r w:rsidR="005A1129">
        <w:rPr>
          <w:rFonts w:ascii="Times New Roman" w:hAnsi="Times New Roman" w:cs="Times New Roman"/>
          <w:sz w:val="24"/>
          <w:szCs w:val="24"/>
        </w:rPr>
        <w:t xml:space="preserve"> </w:t>
      </w:r>
      <w:r>
        <w:rPr>
          <w:rFonts w:ascii="Times New Roman" w:hAnsi="Times New Roman" w:cs="Times New Roman"/>
          <w:sz w:val="24"/>
          <w:szCs w:val="24"/>
        </w:rPr>
        <w:t>value</w:t>
      </w:r>
      <w:r w:rsidR="005A1129">
        <w:rPr>
          <w:rFonts w:ascii="Times New Roman" w:hAnsi="Times New Roman" w:cs="Times New Roman"/>
          <w:sz w:val="24"/>
          <w:szCs w:val="24"/>
        </w:rPr>
        <w:t xml:space="preserve"> </w:t>
      </w:r>
      <w:r>
        <w:rPr>
          <w:rFonts w:ascii="Times New Roman" w:hAnsi="Times New Roman" w:cs="Times New Roman"/>
          <w:sz w:val="24"/>
          <w:szCs w:val="24"/>
        </w:rPr>
        <w:t xml:space="preserve">sacrificing end are sufficient in number and command sufficient resources, </w:t>
      </w:r>
      <w:r w:rsidR="00C4705E">
        <w:rPr>
          <w:rFonts w:ascii="Times New Roman" w:hAnsi="Times New Roman" w:cs="Times New Roman"/>
          <w:sz w:val="24"/>
          <w:szCs w:val="24"/>
        </w:rPr>
        <w:t xml:space="preserve">it is possible that, by refusing to hold the shares of firms the behavior of which they disapprove, they </w:t>
      </w:r>
      <w:r w:rsidR="00983CD4">
        <w:rPr>
          <w:rFonts w:ascii="Times New Roman" w:hAnsi="Times New Roman" w:cs="Times New Roman"/>
          <w:sz w:val="24"/>
          <w:szCs w:val="24"/>
        </w:rPr>
        <w:t xml:space="preserve">will depress the price of these firms’ shares.  The prospect of a lower share price may in turn influence managers to abandon such behavior. </w:t>
      </w:r>
      <w:r w:rsidR="00796064">
        <w:rPr>
          <w:rFonts w:ascii="Times New Roman" w:hAnsi="Times New Roman" w:cs="Times New Roman"/>
          <w:sz w:val="24"/>
          <w:szCs w:val="24"/>
        </w:rPr>
        <w:t xml:space="preserve"> </w:t>
      </w:r>
      <w:r w:rsidR="00983CD4">
        <w:rPr>
          <w:rFonts w:ascii="Times New Roman" w:hAnsi="Times New Roman" w:cs="Times New Roman"/>
          <w:sz w:val="24"/>
          <w:szCs w:val="24"/>
        </w:rPr>
        <w:t>However, i</w:t>
      </w:r>
      <w:r>
        <w:rPr>
          <w:rFonts w:ascii="Times New Roman" w:hAnsi="Times New Roman" w:cs="Times New Roman"/>
          <w:sz w:val="24"/>
          <w:szCs w:val="24"/>
        </w:rPr>
        <w:t>t is unclear based on either theory or existing empirical studies whether the current level of identity investing has yet achieved th</w:t>
      </w:r>
      <w:r w:rsidR="00983CD4">
        <w:rPr>
          <w:rFonts w:ascii="Times New Roman" w:hAnsi="Times New Roman" w:cs="Times New Roman"/>
          <w:sz w:val="24"/>
          <w:szCs w:val="24"/>
        </w:rPr>
        <w:t xml:space="preserve">e </w:t>
      </w:r>
      <w:r>
        <w:rPr>
          <w:rFonts w:ascii="Times New Roman" w:hAnsi="Times New Roman" w:cs="Times New Roman"/>
          <w:sz w:val="24"/>
          <w:szCs w:val="24"/>
        </w:rPr>
        <w:t>critical mass</w:t>
      </w:r>
      <w:r w:rsidR="00983CD4">
        <w:rPr>
          <w:rFonts w:ascii="Times New Roman" w:hAnsi="Times New Roman" w:cs="Times New Roman"/>
          <w:sz w:val="24"/>
          <w:szCs w:val="24"/>
        </w:rPr>
        <w:t xml:space="preserve"> necessary to achieve any such meaningful change in behavior</w:t>
      </w:r>
      <w:r>
        <w:rPr>
          <w:rFonts w:ascii="Times New Roman" w:hAnsi="Times New Roman" w:cs="Times New Roman"/>
          <w:sz w:val="24"/>
          <w:szCs w:val="24"/>
        </w:rPr>
        <w:t>, and if it has not, how likely it will in the future</w:t>
      </w:r>
      <w:r w:rsidR="00983CD4">
        <w:rPr>
          <w:rFonts w:ascii="Times New Roman" w:hAnsi="Times New Roman" w:cs="Times New Roman"/>
          <w:sz w:val="24"/>
          <w:szCs w:val="24"/>
        </w:rPr>
        <w:t xml:space="preserve">. </w:t>
      </w:r>
    </w:p>
    <w:p w14:paraId="5FDCFE48" w14:textId="639A3278" w:rsidR="009B682C" w:rsidRDefault="009B682C" w:rsidP="0036070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We observe, though, that relative to governance arrangement reforms as a way of achieving socially oriented changes in corporate behavior, reliance of the price effects of identity investing has a number of attractions</w:t>
      </w:r>
      <w:r w:rsidR="00796064">
        <w:rPr>
          <w:rFonts w:ascii="Times New Roman" w:hAnsi="Times New Roman" w:cs="Times New Roman"/>
          <w:sz w:val="24"/>
          <w:szCs w:val="24"/>
        </w:rPr>
        <w:t xml:space="preserve">. </w:t>
      </w:r>
      <w:r>
        <w:rPr>
          <w:rFonts w:ascii="Times New Roman" w:hAnsi="Times New Roman" w:cs="Times New Roman"/>
          <w:sz w:val="24"/>
          <w:szCs w:val="24"/>
        </w:rPr>
        <w:t xml:space="preserve">Among others, it does not consume </w:t>
      </w:r>
      <w:r w:rsidR="008A6D02">
        <w:rPr>
          <w:rFonts w:ascii="Times New Roman" w:hAnsi="Times New Roman" w:cs="Times New Roman"/>
          <w:sz w:val="24"/>
          <w:szCs w:val="24"/>
        </w:rPr>
        <w:t xml:space="preserve">the </w:t>
      </w:r>
      <w:r w:rsidR="00E10C64">
        <w:rPr>
          <w:rFonts w:ascii="Times New Roman" w:hAnsi="Times New Roman" w:cs="Times New Roman"/>
          <w:sz w:val="24"/>
          <w:szCs w:val="24"/>
        </w:rPr>
        <w:t>political</w:t>
      </w:r>
      <w:r w:rsidR="008A6D02">
        <w:rPr>
          <w:rFonts w:ascii="Times New Roman" w:hAnsi="Times New Roman" w:cs="Times New Roman"/>
          <w:sz w:val="24"/>
          <w:szCs w:val="24"/>
        </w:rPr>
        <w:t xml:space="preserve"> </w:t>
      </w:r>
      <w:r>
        <w:rPr>
          <w:rFonts w:ascii="Times New Roman" w:hAnsi="Times New Roman" w:cs="Times New Roman"/>
          <w:sz w:val="24"/>
          <w:szCs w:val="24"/>
        </w:rPr>
        <w:t xml:space="preserve">energy that could be </w:t>
      </w:r>
      <w:r>
        <w:rPr>
          <w:rFonts w:ascii="Times New Roman" w:hAnsi="Times New Roman" w:cs="Times New Roman"/>
          <w:sz w:val="24"/>
          <w:szCs w:val="24"/>
        </w:rPr>
        <w:lastRenderedPageBreak/>
        <w:t>used to reform the governmental political system and to push for governmental actions that better control market failures and reduce inequity</w:t>
      </w:r>
      <w:r w:rsidR="00796064">
        <w:rPr>
          <w:rFonts w:ascii="Times New Roman" w:hAnsi="Times New Roman" w:cs="Times New Roman"/>
          <w:sz w:val="24"/>
          <w:szCs w:val="24"/>
        </w:rPr>
        <w:t xml:space="preserve">. </w:t>
      </w:r>
      <w:r>
        <w:rPr>
          <w:rFonts w:ascii="Times New Roman" w:hAnsi="Times New Roman" w:cs="Times New Roman"/>
          <w:sz w:val="24"/>
          <w:szCs w:val="24"/>
        </w:rPr>
        <w:t>And it does not require a socially costly lessening of the existing constraints against managers acting in self-interested ways</w:t>
      </w:r>
      <w:r w:rsidR="00796064">
        <w:rPr>
          <w:rFonts w:ascii="Times New Roman" w:hAnsi="Times New Roman" w:cs="Times New Roman"/>
          <w:sz w:val="24"/>
          <w:szCs w:val="24"/>
        </w:rPr>
        <w:t xml:space="preserve">. </w:t>
      </w:r>
      <w:r>
        <w:rPr>
          <w:rFonts w:ascii="Times New Roman" w:hAnsi="Times New Roman" w:cs="Times New Roman"/>
          <w:sz w:val="24"/>
          <w:szCs w:val="24"/>
        </w:rPr>
        <w:t xml:space="preserve">It relies instead on </w:t>
      </w:r>
      <w:r w:rsidR="007355C7">
        <w:rPr>
          <w:rFonts w:ascii="Times New Roman" w:hAnsi="Times New Roman" w:cs="Times New Roman"/>
          <w:sz w:val="24"/>
          <w:szCs w:val="24"/>
        </w:rPr>
        <w:t xml:space="preserve">information-cost-economizing </w:t>
      </w:r>
      <w:r>
        <w:rPr>
          <w:rFonts w:ascii="Times New Roman" w:hAnsi="Times New Roman" w:cs="Times New Roman"/>
          <w:sz w:val="24"/>
          <w:szCs w:val="24"/>
        </w:rPr>
        <w:t xml:space="preserve">market mechanisms by which managers, who continue to seek to maximize their share prices, seek to detect </w:t>
      </w:r>
      <w:r w:rsidR="00983CD4">
        <w:rPr>
          <w:rFonts w:ascii="Times New Roman" w:hAnsi="Times New Roman" w:cs="Times New Roman"/>
          <w:sz w:val="24"/>
          <w:szCs w:val="24"/>
        </w:rPr>
        <w:t xml:space="preserve">changes in </w:t>
      </w:r>
      <w:r>
        <w:rPr>
          <w:rFonts w:ascii="Times New Roman" w:hAnsi="Times New Roman" w:cs="Times New Roman"/>
          <w:sz w:val="24"/>
          <w:szCs w:val="24"/>
        </w:rPr>
        <w:t>behavior whereby the share price depressing effects of not maximizing cash flow are compensated by the share price increasing effects of the identity investors that the</w:t>
      </w:r>
      <w:r w:rsidR="00983CD4">
        <w:rPr>
          <w:rFonts w:ascii="Times New Roman" w:hAnsi="Times New Roman" w:cs="Times New Roman"/>
          <w:sz w:val="24"/>
          <w:szCs w:val="24"/>
        </w:rPr>
        <w:t xml:space="preserve"> changes </w:t>
      </w:r>
      <w:r>
        <w:rPr>
          <w:rFonts w:ascii="Times New Roman" w:hAnsi="Times New Roman" w:cs="Times New Roman"/>
          <w:sz w:val="24"/>
          <w:szCs w:val="24"/>
        </w:rPr>
        <w:t>would attract</w:t>
      </w:r>
      <w:r w:rsidR="00796064">
        <w:rPr>
          <w:rFonts w:ascii="Times New Roman" w:hAnsi="Times New Roman" w:cs="Times New Roman"/>
          <w:sz w:val="24"/>
          <w:szCs w:val="24"/>
        </w:rPr>
        <w:t xml:space="preserve">. </w:t>
      </w:r>
      <w:r>
        <w:rPr>
          <w:rFonts w:ascii="Times New Roman" w:hAnsi="Times New Roman" w:cs="Times New Roman"/>
          <w:sz w:val="24"/>
          <w:szCs w:val="24"/>
        </w:rPr>
        <w:t>Interestingly, the primary policy implication of encouraging this pathway to reforming corporate behavior would be in the area of securities disclosure, where, so far, the advocates of more socially oriented disclosure and those of purely financial disclosure have been largely talking past each other.</w:t>
      </w:r>
    </w:p>
    <w:p w14:paraId="649BF7F5" w14:textId="62020E8E" w:rsidR="000D6CDC" w:rsidRDefault="000D6CDC" w:rsidP="006860B4">
      <w:pPr>
        <w:spacing w:after="0" w:line="480" w:lineRule="auto"/>
        <w:ind w:firstLine="720"/>
        <w:jc w:val="both"/>
        <w:rPr>
          <w:rFonts w:ascii="Times New Roman" w:hAnsi="Times New Roman" w:cs="Times New Roman"/>
          <w:sz w:val="24"/>
          <w:szCs w:val="24"/>
        </w:rPr>
      </w:pPr>
      <w:r w:rsidRPr="006860B4">
        <w:rPr>
          <w:rFonts w:ascii="Times New Roman" w:hAnsi="Times New Roman" w:cs="Times New Roman"/>
          <w:sz w:val="24"/>
          <w:szCs w:val="24"/>
        </w:rPr>
        <w:t>The article’s mode of analysis and findings in Parts I, II, and III can</w:t>
      </w:r>
      <w:r w:rsidR="00EA688B">
        <w:rPr>
          <w:rFonts w:ascii="Times New Roman" w:hAnsi="Times New Roman" w:cs="Times New Roman"/>
          <w:kern w:val="0"/>
          <w:sz w:val="24"/>
          <w:szCs w:val="24"/>
          <w14:ligatures w14:val="none"/>
        </w:rPr>
        <w:t xml:space="preserve"> be leveraged to advance the discussion of a number of ongoing debates in corporate law scholarship including the debate over corporate purpose.  Is it to maximize share value or is it, to at least some extent, to serve one or more other ends?  The major reform movements of recent years – Corporate Social Responsibility (CSR), Environment, Social</w:t>
      </w:r>
      <w:r w:rsidR="008E152C">
        <w:rPr>
          <w:rFonts w:ascii="Times New Roman" w:hAnsi="Times New Roman" w:cs="Times New Roman"/>
          <w:kern w:val="0"/>
          <w:sz w:val="24"/>
          <w:szCs w:val="24"/>
          <w14:ligatures w14:val="none"/>
        </w:rPr>
        <w:t>,</w:t>
      </w:r>
      <w:r w:rsidR="00EA688B">
        <w:rPr>
          <w:rFonts w:ascii="Times New Roman" w:hAnsi="Times New Roman" w:cs="Times New Roman"/>
          <w:kern w:val="0"/>
          <w:sz w:val="24"/>
          <w:szCs w:val="24"/>
          <w14:ligatures w14:val="none"/>
        </w:rPr>
        <w:t xml:space="preserve"> and Governance (ESG), and </w:t>
      </w:r>
      <w:r w:rsidR="0017000C">
        <w:rPr>
          <w:rFonts w:ascii="Times New Roman" w:hAnsi="Times New Roman" w:cs="Times New Roman"/>
          <w:kern w:val="0"/>
          <w:sz w:val="24"/>
          <w:szCs w:val="24"/>
          <w14:ligatures w14:val="none"/>
        </w:rPr>
        <w:t>s</w:t>
      </w:r>
      <w:r w:rsidR="00EA688B">
        <w:rPr>
          <w:rFonts w:ascii="Times New Roman" w:hAnsi="Times New Roman" w:cs="Times New Roman"/>
          <w:kern w:val="0"/>
          <w:sz w:val="24"/>
          <w:szCs w:val="24"/>
          <w14:ligatures w14:val="none"/>
        </w:rPr>
        <w:t xml:space="preserve">takeholderism – share in common support for the latter position, whatever, if any, are their differences.  In this regard, in Part IV, we reach three conclusions.  First, the literature advancing the various strains of the alternative ends approach is surprisingly thin on how to get from here to there. Our analysis suggests that it may well be that a significant portion of the economy’s equity investors would, if fully informed, prefer certain deviations share value maximization in furtherance of other ends, but that it is highly unlikely that if so, this fact would organically lead to major changes in corporate behavior.  Fundamental changes in our current corporate governance arrangements would be a precondition.  Second, because shareholders are not well informed concerning the extent to which </w:t>
      </w:r>
      <w:r w:rsidR="00EA688B">
        <w:rPr>
          <w:rFonts w:ascii="Times New Roman" w:hAnsi="Times New Roman" w:cs="Times New Roman"/>
          <w:kern w:val="0"/>
          <w:sz w:val="24"/>
          <w:szCs w:val="24"/>
          <w14:ligatures w14:val="none"/>
        </w:rPr>
        <w:lastRenderedPageBreak/>
        <w:t xml:space="preserve">changes in corporate behavior would further ends that they support or the costs of these changes in terms of share value, directors and managers, even if they wished to do what shareholders would prefer if they were so informed, lack any reliable guides.  Third, the analysis here suggests efficiency and equity in the economy will not be advanced by two of the prominently discussed kinds of fundamental changes in corporate governance arrangements:  broadening the scope of the shareholder franchise to allow for votes concerning specific business decisions and softening the sticks and carrots that incentivize managers to maximize share value through an easing of fiduciary duties. These conclusions are important because if these fundamental alterations are necessary for shareholder preferences to change </w:t>
      </w:r>
      <w:r w:rsidR="00C67135">
        <w:rPr>
          <w:rFonts w:ascii="Times New Roman" w:hAnsi="Times New Roman" w:cs="Times New Roman"/>
          <w:kern w:val="0"/>
          <w:sz w:val="24"/>
          <w:szCs w:val="24"/>
          <w14:ligatures w14:val="none"/>
        </w:rPr>
        <w:t xml:space="preserve">corporate behavior </w:t>
      </w:r>
      <w:r w:rsidR="00EA688B">
        <w:rPr>
          <w:rFonts w:ascii="Times New Roman" w:hAnsi="Times New Roman" w:cs="Times New Roman"/>
          <w:kern w:val="0"/>
          <w:sz w:val="24"/>
          <w:szCs w:val="24"/>
          <w14:ligatures w14:val="none"/>
        </w:rPr>
        <w:t xml:space="preserve">but unlikely to be adopted, </w:t>
      </w:r>
      <w:r w:rsidR="00C67135">
        <w:rPr>
          <w:rFonts w:ascii="Times New Roman" w:hAnsi="Times New Roman" w:cs="Times New Roman"/>
          <w:kern w:val="0"/>
          <w:sz w:val="24"/>
          <w:szCs w:val="24"/>
          <w14:ligatures w14:val="none"/>
        </w:rPr>
        <w:t>it would be better to steer policy analysis concerning how to correct for the problems of corporate behavior in other directions.</w:t>
      </w:r>
      <w:r>
        <w:rPr>
          <w:rFonts w:ascii="Times New Roman" w:hAnsi="Times New Roman" w:cs="Times New Roman"/>
          <w:kern w:val="0"/>
          <w:sz w:val="24"/>
          <w:szCs w:val="24"/>
          <w14:ligatures w14:val="none"/>
        </w:rPr>
        <w:t xml:space="preserve">  </w:t>
      </w:r>
    </w:p>
    <w:p w14:paraId="708A9F24" w14:textId="135B9C39" w:rsidR="002C1474" w:rsidRPr="005E3083" w:rsidRDefault="009B682C" w:rsidP="00F355E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5E3083">
        <w:rPr>
          <w:rFonts w:ascii="Times New Roman" w:hAnsi="Times New Roman" w:cs="Times New Roman"/>
          <w:sz w:val="24"/>
          <w:szCs w:val="24"/>
        </w:rPr>
        <w:t>Part V concludes</w:t>
      </w:r>
      <w:r w:rsidR="00796064">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0BAE0D6" w14:textId="7F890764" w:rsidR="009F3E7E" w:rsidRPr="005E3083" w:rsidRDefault="009F3E7E" w:rsidP="00F355E2">
      <w:pPr>
        <w:pStyle w:val="ListParagraph"/>
        <w:numPr>
          <w:ilvl w:val="0"/>
          <w:numId w:val="1"/>
        </w:numPr>
        <w:spacing w:after="0" w:line="480" w:lineRule="auto"/>
        <w:jc w:val="center"/>
        <w:rPr>
          <w:rFonts w:cs="Times New Roman"/>
          <w:b/>
          <w:sz w:val="24"/>
          <w:szCs w:val="24"/>
        </w:rPr>
      </w:pPr>
      <w:r w:rsidRPr="005E3083">
        <w:rPr>
          <w:rFonts w:cs="Times New Roman"/>
          <w:b/>
          <w:sz w:val="24"/>
          <w:szCs w:val="24"/>
        </w:rPr>
        <w:t>Taxonomy of Shareholder Differences</w:t>
      </w:r>
    </w:p>
    <w:p w14:paraId="2FA9E237" w14:textId="3356C5E7" w:rsidR="009F3E7E" w:rsidRPr="005E3083" w:rsidRDefault="009F3E7E" w:rsidP="00F355E2">
      <w:pPr>
        <w:spacing w:after="0" w:line="480" w:lineRule="auto"/>
        <w:jc w:val="both"/>
        <w:rPr>
          <w:rFonts w:ascii="Times New Roman" w:hAnsi="Times New Roman" w:cs="Times New Roman"/>
          <w:sz w:val="24"/>
          <w:szCs w:val="24"/>
        </w:rPr>
      </w:pPr>
      <w:r w:rsidRPr="005E3083">
        <w:rPr>
          <w:rFonts w:ascii="Times New Roman" w:hAnsi="Times New Roman" w:cs="Times New Roman"/>
          <w:sz w:val="24"/>
          <w:szCs w:val="24"/>
        </w:rPr>
        <w:tab/>
      </w:r>
      <w:r w:rsidR="00874026">
        <w:rPr>
          <w:rFonts w:ascii="Times New Roman" w:hAnsi="Times New Roman" w:cs="Times New Roman"/>
          <w:sz w:val="24"/>
          <w:szCs w:val="24"/>
        </w:rPr>
        <w:t>M</w:t>
      </w:r>
      <w:r w:rsidRPr="005E3083">
        <w:rPr>
          <w:rFonts w:ascii="Times New Roman" w:hAnsi="Times New Roman" w:cs="Times New Roman"/>
          <w:sz w:val="24"/>
          <w:szCs w:val="24"/>
        </w:rPr>
        <w:t xml:space="preserve">ost standard economic models of corporate governance posit </w:t>
      </w:r>
      <w:r w:rsidR="00874026">
        <w:rPr>
          <w:rFonts w:ascii="Times New Roman" w:hAnsi="Times New Roman" w:cs="Times New Roman"/>
          <w:sz w:val="24"/>
          <w:szCs w:val="24"/>
        </w:rPr>
        <w:t xml:space="preserve">that equity investors </w:t>
      </w:r>
      <w:r w:rsidR="00710E32">
        <w:rPr>
          <w:rFonts w:ascii="Times New Roman" w:hAnsi="Times New Roman" w:cs="Times New Roman"/>
          <w:sz w:val="24"/>
          <w:szCs w:val="24"/>
        </w:rPr>
        <w:t>in the economy’s public corporations homogeneously prefer that these firms act solely to maximize share value.</w:t>
      </w:r>
      <w:bookmarkStart w:id="7" w:name="_Ref178624465"/>
      <w:r w:rsidR="00192CC1">
        <w:rPr>
          <w:rStyle w:val="FootnoteReference"/>
          <w:rFonts w:ascii="Times New Roman" w:hAnsi="Times New Roman" w:cs="Times New Roman"/>
          <w:sz w:val="24"/>
          <w:szCs w:val="24"/>
        </w:rPr>
        <w:footnoteReference w:id="20"/>
      </w:r>
      <w:bookmarkEnd w:id="7"/>
      <w:r w:rsidR="00710E32">
        <w:rPr>
          <w:rFonts w:ascii="Times New Roman" w:hAnsi="Times New Roman" w:cs="Times New Roman"/>
          <w:sz w:val="24"/>
          <w:szCs w:val="24"/>
        </w:rPr>
        <w:t xml:space="preserve">  Observation in the</w:t>
      </w:r>
      <w:r w:rsidR="00EE4B01">
        <w:rPr>
          <w:rFonts w:ascii="Times New Roman" w:hAnsi="Times New Roman" w:cs="Times New Roman"/>
          <w:sz w:val="24"/>
          <w:szCs w:val="24"/>
        </w:rPr>
        <w:t xml:space="preserve"> real world suggests otherwise</w:t>
      </w:r>
      <w:r w:rsidR="00796064">
        <w:rPr>
          <w:rFonts w:ascii="Times New Roman" w:hAnsi="Times New Roman" w:cs="Times New Roman"/>
          <w:sz w:val="24"/>
          <w:szCs w:val="24"/>
        </w:rPr>
        <w:t xml:space="preserve">. </w:t>
      </w:r>
      <w:r w:rsidR="00EE4B01">
        <w:rPr>
          <w:rFonts w:ascii="Times New Roman" w:hAnsi="Times New Roman" w:cs="Times New Roman"/>
          <w:sz w:val="24"/>
          <w:szCs w:val="24"/>
        </w:rPr>
        <w:t xml:space="preserve">While it is true that </w:t>
      </w:r>
      <w:r w:rsidR="00EE4B01" w:rsidRPr="005E3083">
        <w:rPr>
          <w:rFonts w:ascii="Times New Roman" w:hAnsi="Times New Roman" w:cs="Times New Roman"/>
          <w:sz w:val="24"/>
          <w:szCs w:val="24"/>
        </w:rPr>
        <w:t xml:space="preserve">all </w:t>
      </w:r>
      <w:r w:rsidR="00EE4B01">
        <w:rPr>
          <w:rFonts w:ascii="Times New Roman" w:hAnsi="Times New Roman" w:cs="Times New Roman"/>
          <w:sz w:val="24"/>
          <w:szCs w:val="24"/>
        </w:rPr>
        <w:t xml:space="preserve">equity </w:t>
      </w:r>
      <w:r w:rsidR="00EE4B01" w:rsidRPr="005E3083">
        <w:rPr>
          <w:rFonts w:ascii="Times New Roman" w:hAnsi="Times New Roman" w:cs="Times New Roman"/>
          <w:sz w:val="24"/>
          <w:szCs w:val="24"/>
        </w:rPr>
        <w:t>investors prefer that the corporations in which the</w:t>
      </w:r>
      <w:r w:rsidR="00EE4B01">
        <w:rPr>
          <w:rFonts w:ascii="Times New Roman" w:hAnsi="Times New Roman" w:cs="Times New Roman"/>
          <w:sz w:val="24"/>
          <w:szCs w:val="24"/>
        </w:rPr>
        <w:t>y invest the</w:t>
      </w:r>
      <w:r w:rsidR="00EE4B01" w:rsidRPr="005E3083">
        <w:rPr>
          <w:rFonts w:ascii="Times New Roman" w:hAnsi="Times New Roman" w:cs="Times New Roman"/>
          <w:sz w:val="24"/>
          <w:szCs w:val="24"/>
        </w:rPr>
        <w:t xml:space="preserve">ir money behave in ways </w:t>
      </w:r>
      <w:r w:rsidR="00B63AC7">
        <w:rPr>
          <w:rFonts w:ascii="Times New Roman" w:hAnsi="Times New Roman" w:cs="Times New Roman"/>
          <w:sz w:val="24"/>
          <w:szCs w:val="24"/>
        </w:rPr>
        <w:t xml:space="preserve">that result in </w:t>
      </w:r>
      <w:r w:rsidR="00EE4B01" w:rsidRPr="005E3083">
        <w:rPr>
          <w:rFonts w:ascii="Times New Roman" w:hAnsi="Times New Roman" w:cs="Times New Roman"/>
          <w:sz w:val="24"/>
          <w:szCs w:val="24"/>
        </w:rPr>
        <w:t>a higher share value rather than a lower one</w:t>
      </w:r>
      <w:r w:rsidR="00EE4B01">
        <w:rPr>
          <w:rFonts w:ascii="Times New Roman" w:hAnsi="Times New Roman" w:cs="Times New Roman"/>
          <w:sz w:val="24"/>
          <w:szCs w:val="24"/>
        </w:rPr>
        <w:t>, t</w:t>
      </w:r>
      <w:r w:rsidR="00A32595">
        <w:rPr>
          <w:rFonts w:ascii="Times New Roman" w:hAnsi="Times New Roman" w:cs="Times New Roman"/>
          <w:sz w:val="24"/>
          <w:szCs w:val="24"/>
        </w:rPr>
        <w:t xml:space="preserve">he behavior of </w:t>
      </w:r>
      <w:r w:rsidR="00D366CB">
        <w:rPr>
          <w:rFonts w:ascii="Times New Roman" w:hAnsi="Times New Roman" w:cs="Times New Roman"/>
          <w:sz w:val="24"/>
          <w:szCs w:val="24"/>
        </w:rPr>
        <w:t>any given public corporation</w:t>
      </w:r>
      <w:r w:rsidR="00A32595">
        <w:rPr>
          <w:rFonts w:ascii="Times New Roman" w:hAnsi="Times New Roman" w:cs="Times New Roman"/>
          <w:sz w:val="24"/>
          <w:szCs w:val="24"/>
        </w:rPr>
        <w:t xml:space="preserve"> ha</w:t>
      </w:r>
      <w:r w:rsidR="00D366CB">
        <w:rPr>
          <w:rFonts w:ascii="Times New Roman" w:hAnsi="Times New Roman" w:cs="Times New Roman"/>
          <w:sz w:val="24"/>
          <w:szCs w:val="24"/>
        </w:rPr>
        <w:t>s</w:t>
      </w:r>
      <w:r w:rsidR="00A32595">
        <w:rPr>
          <w:rFonts w:ascii="Times New Roman" w:hAnsi="Times New Roman" w:cs="Times New Roman"/>
          <w:sz w:val="24"/>
          <w:szCs w:val="24"/>
        </w:rPr>
        <w:t xml:space="preserve"> impacts touching upon the variety of </w:t>
      </w:r>
      <w:r w:rsidR="00FF2ACC">
        <w:rPr>
          <w:rFonts w:ascii="Times New Roman" w:hAnsi="Times New Roman" w:cs="Times New Roman"/>
          <w:sz w:val="24"/>
          <w:szCs w:val="24"/>
        </w:rPr>
        <w:t xml:space="preserve">other ends </w:t>
      </w:r>
      <w:r w:rsidR="00A32595">
        <w:rPr>
          <w:rFonts w:ascii="Times New Roman" w:hAnsi="Times New Roman" w:cs="Times New Roman"/>
          <w:sz w:val="24"/>
          <w:szCs w:val="24"/>
        </w:rPr>
        <w:t>value</w:t>
      </w:r>
      <w:r w:rsidR="00FF2ACC">
        <w:rPr>
          <w:rFonts w:ascii="Times New Roman" w:hAnsi="Times New Roman" w:cs="Times New Roman"/>
          <w:sz w:val="24"/>
          <w:szCs w:val="24"/>
        </w:rPr>
        <w:t>d</w:t>
      </w:r>
      <w:r w:rsidR="00A32595">
        <w:rPr>
          <w:rFonts w:ascii="Times New Roman" w:hAnsi="Times New Roman" w:cs="Times New Roman"/>
          <w:sz w:val="24"/>
          <w:szCs w:val="24"/>
        </w:rPr>
        <w:t xml:space="preserve"> by these investors</w:t>
      </w:r>
      <w:r w:rsidR="00EE4B01">
        <w:rPr>
          <w:rFonts w:ascii="Times New Roman" w:hAnsi="Times New Roman" w:cs="Times New Roman"/>
          <w:sz w:val="24"/>
          <w:szCs w:val="24"/>
        </w:rPr>
        <w:t xml:space="preserve"> as well</w:t>
      </w:r>
      <w:r w:rsidR="00796064">
        <w:rPr>
          <w:rFonts w:ascii="Times New Roman" w:hAnsi="Times New Roman" w:cs="Times New Roman"/>
          <w:sz w:val="24"/>
          <w:szCs w:val="24"/>
        </w:rPr>
        <w:t xml:space="preserve">. </w:t>
      </w:r>
      <w:r w:rsidR="00F76891">
        <w:rPr>
          <w:rFonts w:ascii="Times New Roman" w:hAnsi="Times New Roman" w:cs="Times New Roman"/>
          <w:sz w:val="24"/>
          <w:szCs w:val="24"/>
        </w:rPr>
        <w:t>S</w:t>
      </w:r>
      <w:r w:rsidR="00B63AC7">
        <w:rPr>
          <w:rFonts w:ascii="Times New Roman" w:hAnsi="Times New Roman" w:cs="Times New Roman"/>
          <w:sz w:val="24"/>
          <w:szCs w:val="24"/>
        </w:rPr>
        <w:t>ome of the economy’s equity investors</w:t>
      </w:r>
      <w:r w:rsidR="00C0529A">
        <w:rPr>
          <w:rFonts w:ascii="Times New Roman" w:hAnsi="Times New Roman" w:cs="Times New Roman"/>
          <w:sz w:val="24"/>
          <w:szCs w:val="24"/>
        </w:rPr>
        <w:t xml:space="preserve">, who </w:t>
      </w:r>
      <w:r w:rsidR="0059516C">
        <w:rPr>
          <w:rFonts w:ascii="Times New Roman" w:hAnsi="Times New Roman" w:cs="Times New Roman"/>
          <w:sz w:val="24"/>
          <w:szCs w:val="24"/>
        </w:rPr>
        <w:t>can be referred to as its</w:t>
      </w:r>
      <w:r w:rsidR="00C0529A">
        <w:rPr>
          <w:rFonts w:ascii="Times New Roman" w:hAnsi="Times New Roman" w:cs="Times New Roman"/>
          <w:sz w:val="24"/>
          <w:szCs w:val="24"/>
        </w:rPr>
        <w:t xml:space="preserve"> “profit maximizers</w:t>
      </w:r>
      <w:r w:rsidR="00390249">
        <w:rPr>
          <w:rFonts w:ascii="Times New Roman" w:hAnsi="Times New Roman" w:cs="Times New Roman"/>
          <w:sz w:val="24"/>
          <w:szCs w:val="24"/>
        </w:rPr>
        <w:t>,</w:t>
      </w:r>
      <w:r w:rsidR="00C0529A">
        <w:rPr>
          <w:rFonts w:ascii="Times New Roman" w:hAnsi="Times New Roman" w:cs="Times New Roman"/>
          <w:sz w:val="24"/>
          <w:szCs w:val="24"/>
        </w:rPr>
        <w:t>”</w:t>
      </w:r>
      <w:r w:rsidR="00214F04">
        <w:rPr>
          <w:rFonts w:ascii="Times New Roman" w:hAnsi="Times New Roman" w:cs="Times New Roman"/>
          <w:sz w:val="24"/>
          <w:szCs w:val="24"/>
        </w:rPr>
        <w:t xml:space="preserve"> </w:t>
      </w:r>
      <w:r w:rsidR="00931FC5">
        <w:rPr>
          <w:rFonts w:ascii="Times New Roman" w:hAnsi="Times New Roman" w:cs="Times New Roman"/>
          <w:sz w:val="24"/>
          <w:szCs w:val="24"/>
        </w:rPr>
        <w:t>prefer</w:t>
      </w:r>
      <w:r w:rsidR="00B63AC7">
        <w:rPr>
          <w:rFonts w:ascii="Times New Roman" w:hAnsi="Times New Roman" w:cs="Times New Roman"/>
          <w:sz w:val="24"/>
          <w:szCs w:val="24"/>
        </w:rPr>
        <w:t xml:space="preserve"> </w:t>
      </w:r>
      <w:r w:rsidR="008106B1">
        <w:rPr>
          <w:rFonts w:ascii="Times New Roman" w:hAnsi="Times New Roman" w:cs="Times New Roman"/>
          <w:sz w:val="24"/>
          <w:szCs w:val="24"/>
        </w:rPr>
        <w:t xml:space="preserve">that </w:t>
      </w:r>
      <w:r w:rsidR="00214F04">
        <w:rPr>
          <w:rFonts w:ascii="Times New Roman" w:hAnsi="Times New Roman" w:cs="Times New Roman"/>
          <w:sz w:val="24"/>
          <w:szCs w:val="24"/>
        </w:rPr>
        <w:t>firms</w:t>
      </w:r>
      <w:r w:rsidR="00B63AC7">
        <w:rPr>
          <w:rFonts w:ascii="Times New Roman" w:hAnsi="Times New Roman" w:cs="Times New Roman"/>
          <w:sz w:val="24"/>
          <w:szCs w:val="24"/>
        </w:rPr>
        <w:t xml:space="preserve"> </w:t>
      </w:r>
      <w:r w:rsidR="0093164C">
        <w:rPr>
          <w:rFonts w:ascii="Times New Roman" w:hAnsi="Times New Roman" w:cs="Times New Roman"/>
          <w:sz w:val="24"/>
          <w:szCs w:val="24"/>
        </w:rPr>
        <w:t>stay</w:t>
      </w:r>
      <w:r w:rsidR="00214F04">
        <w:rPr>
          <w:rFonts w:ascii="Times New Roman" w:hAnsi="Times New Roman" w:cs="Times New Roman"/>
          <w:sz w:val="24"/>
          <w:szCs w:val="24"/>
        </w:rPr>
        <w:t xml:space="preserve"> focused on</w:t>
      </w:r>
      <w:r w:rsidR="00B63AC7">
        <w:rPr>
          <w:rFonts w:ascii="Times New Roman" w:hAnsi="Times New Roman" w:cs="Times New Roman"/>
          <w:sz w:val="24"/>
          <w:szCs w:val="24"/>
        </w:rPr>
        <w:t xml:space="preserve"> share value</w:t>
      </w:r>
      <w:r w:rsidR="00214F04">
        <w:rPr>
          <w:rFonts w:ascii="Times New Roman" w:hAnsi="Times New Roman" w:cs="Times New Roman"/>
          <w:sz w:val="24"/>
          <w:szCs w:val="24"/>
        </w:rPr>
        <w:t xml:space="preserve"> maximization despite these other ends</w:t>
      </w:r>
      <w:r w:rsidR="00F76891">
        <w:rPr>
          <w:rFonts w:ascii="Times New Roman" w:hAnsi="Times New Roman" w:cs="Times New Roman"/>
          <w:sz w:val="24"/>
          <w:szCs w:val="24"/>
        </w:rPr>
        <w:t>. O</w:t>
      </w:r>
      <w:r w:rsidR="00214F04">
        <w:rPr>
          <w:rFonts w:ascii="Times New Roman" w:hAnsi="Times New Roman" w:cs="Times New Roman"/>
          <w:sz w:val="24"/>
          <w:szCs w:val="24"/>
        </w:rPr>
        <w:t>ther</w:t>
      </w:r>
      <w:r w:rsidR="00A4045D">
        <w:rPr>
          <w:rFonts w:ascii="Times New Roman" w:hAnsi="Times New Roman" w:cs="Times New Roman"/>
          <w:sz w:val="24"/>
          <w:szCs w:val="24"/>
        </w:rPr>
        <w:t xml:space="preserve">s among the </w:t>
      </w:r>
      <w:r w:rsidR="00F76891">
        <w:rPr>
          <w:rFonts w:ascii="Times New Roman" w:hAnsi="Times New Roman" w:cs="Times New Roman"/>
          <w:sz w:val="24"/>
          <w:szCs w:val="24"/>
        </w:rPr>
        <w:t>economy’s</w:t>
      </w:r>
      <w:r w:rsidR="00214F04">
        <w:rPr>
          <w:rFonts w:ascii="Times New Roman" w:hAnsi="Times New Roman" w:cs="Times New Roman"/>
          <w:sz w:val="24"/>
          <w:szCs w:val="24"/>
        </w:rPr>
        <w:t xml:space="preserve"> equity investors, </w:t>
      </w:r>
      <w:r w:rsidR="008106B1">
        <w:rPr>
          <w:rFonts w:ascii="Times New Roman" w:hAnsi="Times New Roman" w:cs="Times New Roman"/>
          <w:sz w:val="24"/>
          <w:szCs w:val="24"/>
        </w:rPr>
        <w:t xml:space="preserve">the </w:t>
      </w:r>
      <w:r w:rsidR="00B63AC7">
        <w:rPr>
          <w:rFonts w:ascii="Times New Roman" w:hAnsi="Times New Roman" w:cs="Times New Roman"/>
          <w:sz w:val="24"/>
          <w:szCs w:val="24"/>
        </w:rPr>
        <w:t>“profit sacrificers</w:t>
      </w:r>
      <w:r w:rsidR="008106B1">
        <w:rPr>
          <w:rFonts w:ascii="Times New Roman" w:hAnsi="Times New Roman" w:cs="Times New Roman"/>
          <w:sz w:val="24"/>
          <w:szCs w:val="24"/>
        </w:rPr>
        <w:t>,</w:t>
      </w:r>
      <w:r w:rsidR="00B63AC7">
        <w:rPr>
          <w:rFonts w:ascii="Times New Roman" w:hAnsi="Times New Roman" w:cs="Times New Roman"/>
          <w:sz w:val="24"/>
          <w:szCs w:val="24"/>
        </w:rPr>
        <w:t xml:space="preserve">” </w:t>
      </w:r>
      <w:r w:rsidR="00214F04">
        <w:rPr>
          <w:rFonts w:ascii="Times New Roman" w:hAnsi="Times New Roman" w:cs="Times New Roman"/>
          <w:sz w:val="24"/>
          <w:szCs w:val="24"/>
        </w:rPr>
        <w:t>see things differently and</w:t>
      </w:r>
      <w:r w:rsidR="00F76891">
        <w:rPr>
          <w:rFonts w:ascii="Times New Roman" w:hAnsi="Times New Roman" w:cs="Times New Roman"/>
          <w:sz w:val="24"/>
          <w:szCs w:val="24"/>
        </w:rPr>
        <w:t xml:space="preserve"> prefer that </w:t>
      </w:r>
      <w:r w:rsidR="00A4045D">
        <w:rPr>
          <w:rFonts w:ascii="Times New Roman" w:hAnsi="Times New Roman" w:cs="Times New Roman"/>
          <w:sz w:val="24"/>
          <w:szCs w:val="24"/>
        </w:rPr>
        <w:t xml:space="preserve">particular </w:t>
      </w:r>
      <w:r w:rsidR="00931FC5">
        <w:rPr>
          <w:rFonts w:ascii="Times New Roman" w:hAnsi="Times New Roman" w:cs="Times New Roman"/>
          <w:sz w:val="24"/>
          <w:szCs w:val="24"/>
        </w:rPr>
        <w:t>firms</w:t>
      </w:r>
      <w:r w:rsidR="00214F04">
        <w:rPr>
          <w:rFonts w:ascii="Times New Roman" w:hAnsi="Times New Roman" w:cs="Times New Roman"/>
          <w:sz w:val="24"/>
          <w:szCs w:val="24"/>
        </w:rPr>
        <w:t xml:space="preserve"> </w:t>
      </w:r>
      <w:r w:rsidR="008106B1">
        <w:rPr>
          <w:rFonts w:ascii="Times New Roman" w:hAnsi="Times New Roman" w:cs="Times New Roman"/>
          <w:sz w:val="24"/>
          <w:szCs w:val="24"/>
        </w:rPr>
        <w:t xml:space="preserve">to </w:t>
      </w:r>
      <w:r w:rsidR="00214F04">
        <w:rPr>
          <w:rFonts w:ascii="Times New Roman" w:hAnsi="Times New Roman" w:cs="Times New Roman"/>
          <w:sz w:val="24"/>
          <w:szCs w:val="24"/>
        </w:rPr>
        <w:t xml:space="preserve">sacrifice </w:t>
      </w:r>
      <w:r w:rsidR="00E10C64">
        <w:rPr>
          <w:rFonts w:ascii="Times New Roman" w:hAnsi="Times New Roman" w:cs="Times New Roman"/>
          <w:sz w:val="24"/>
          <w:szCs w:val="24"/>
        </w:rPr>
        <w:lastRenderedPageBreak/>
        <w:t xml:space="preserve">some </w:t>
      </w:r>
      <w:r w:rsidR="00A32595" w:rsidRPr="005E3083">
        <w:rPr>
          <w:rFonts w:ascii="Times New Roman" w:hAnsi="Times New Roman" w:cs="Times New Roman"/>
          <w:sz w:val="24"/>
          <w:szCs w:val="24"/>
        </w:rPr>
        <w:t xml:space="preserve">share value </w:t>
      </w:r>
      <w:r w:rsidR="00A4045D">
        <w:rPr>
          <w:rFonts w:ascii="Times New Roman" w:hAnsi="Times New Roman" w:cs="Times New Roman"/>
          <w:sz w:val="24"/>
          <w:szCs w:val="24"/>
        </w:rPr>
        <w:t xml:space="preserve">in order </w:t>
      </w:r>
      <w:r w:rsidR="00214F04">
        <w:rPr>
          <w:rFonts w:ascii="Times New Roman" w:hAnsi="Times New Roman" w:cs="Times New Roman"/>
          <w:sz w:val="24"/>
          <w:szCs w:val="24"/>
        </w:rPr>
        <w:t>t</w:t>
      </w:r>
      <w:r w:rsidR="00390249">
        <w:rPr>
          <w:rFonts w:ascii="Times New Roman" w:hAnsi="Times New Roman" w:cs="Times New Roman"/>
          <w:sz w:val="24"/>
          <w:szCs w:val="24"/>
        </w:rPr>
        <w:t xml:space="preserve">o </w:t>
      </w:r>
      <w:r w:rsidR="00A32595">
        <w:rPr>
          <w:rFonts w:ascii="Times New Roman" w:hAnsi="Times New Roman" w:cs="Times New Roman"/>
          <w:sz w:val="24"/>
          <w:szCs w:val="24"/>
        </w:rPr>
        <w:t xml:space="preserve">further </w:t>
      </w:r>
      <w:r w:rsidR="00214F04">
        <w:rPr>
          <w:rFonts w:ascii="Times New Roman" w:hAnsi="Times New Roman" w:cs="Times New Roman"/>
          <w:sz w:val="24"/>
          <w:szCs w:val="24"/>
        </w:rPr>
        <w:t>one or more of those other ends</w:t>
      </w:r>
      <w:r w:rsidR="00796064">
        <w:rPr>
          <w:rFonts w:ascii="Times New Roman" w:hAnsi="Times New Roman" w:cs="Times New Roman"/>
          <w:sz w:val="24"/>
          <w:szCs w:val="24"/>
        </w:rPr>
        <w:t xml:space="preserve">. </w:t>
      </w:r>
      <w:r w:rsidR="00EE4B01">
        <w:rPr>
          <w:rFonts w:ascii="Times New Roman" w:hAnsi="Times New Roman" w:cs="Times New Roman"/>
          <w:sz w:val="24"/>
          <w:szCs w:val="24"/>
        </w:rPr>
        <w:t xml:space="preserve">While the ends </w:t>
      </w:r>
      <w:r w:rsidR="00F76891">
        <w:rPr>
          <w:rFonts w:ascii="Times New Roman" w:hAnsi="Times New Roman" w:cs="Times New Roman"/>
          <w:sz w:val="24"/>
          <w:szCs w:val="24"/>
        </w:rPr>
        <w:t xml:space="preserve">giving rise to profit sacrificing preferences </w:t>
      </w:r>
      <w:r w:rsidR="00EE4B01">
        <w:rPr>
          <w:rFonts w:ascii="Times New Roman" w:hAnsi="Times New Roman" w:cs="Times New Roman"/>
          <w:sz w:val="24"/>
          <w:szCs w:val="24"/>
        </w:rPr>
        <w:t xml:space="preserve">are myriad, we think they fall into three </w:t>
      </w:r>
      <w:r w:rsidR="00581444">
        <w:rPr>
          <w:rFonts w:ascii="Times New Roman" w:hAnsi="Times New Roman" w:cs="Times New Roman"/>
          <w:sz w:val="24"/>
          <w:szCs w:val="24"/>
        </w:rPr>
        <w:t xml:space="preserve">non-mutually exclusive </w:t>
      </w:r>
      <w:r w:rsidR="00EE4B01">
        <w:rPr>
          <w:rFonts w:ascii="Times New Roman" w:hAnsi="Times New Roman" w:cs="Times New Roman"/>
          <w:sz w:val="24"/>
          <w:szCs w:val="24"/>
        </w:rPr>
        <w:t>general categories</w:t>
      </w:r>
      <w:r w:rsidR="0070015D">
        <w:rPr>
          <w:rFonts w:ascii="Times New Roman" w:hAnsi="Times New Roman" w:cs="Times New Roman"/>
          <w:sz w:val="24"/>
          <w:szCs w:val="24"/>
        </w:rPr>
        <w:t>, as set out below</w:t>
      </w:r>
      <w:r w:rsidR="00581444">
        <w:rPr>
          <w:rFonts w:ascii="Times New Roman" w:hAnsi="Times New Roman" w:cs="Times New Roman"/>
          <w:sz w:val="24"/>
          <w:szCs w:val="24"/>
        </w:rPr>
        <w:t>, which we believe spans the entire universe of the preferences of profit sacrificers</w:t>
      </w:r>
      <w:r w:rsidR="00796064">
        <w:rPr>
          <w:rFonts w:ascii="Times New Roman" w:hAnsi="Times New Roman" w:cs="Times New Roman"/>
          <w:sz w:val="24"/>
          <w:szCs w:val="24"/>
        </w:rPr>
        <w:t xml:space="preserve">. </w:t>
      </w:r>
    </w:p>
    <w:p w14:paraId="08962150" w14:textId="5E16ED11" w:rsidR="009F3E7E" w:rsidRPr="00507446" w:rsidRDefault="009F3E7E" w:rsidP="00507446">
      <w:pPr>
        <w:pStyle w:val="ListParagraph"/>
        <w:numPr>
          <w:ilvl w:val="0"/>
          <w:numId w:val="17"/>
        </w:numPr>
        <w:spacing w:after="0" w:line="480" w:lineRule="auto"/>
        <w:jc w:val="center"/>
        <w:rPr>
          <w:rFonts w:cs="Times New Roman"/>
          <w:i/>
          <w:sz w:val="24"/>
          <w:szCs w:val="24"/>
        </w:rPr>
      </w:pPr>
      <w:r w:rsidRPr="00507446">
        <w:rPr>
          <w:rFonts w:cs="Times New Roman"/>
          <w:i/>
          <w:sz w:val="24"/>
          <w:szCs w:val="24"/>
        </w:rPr>
        <w:t>Market Imperfections</w:t>
      </w:r>
    </w:p>
    <w:p w14:paraId="4E0F347B" w14:textId="495F3AE7" w:rsidR="009F3E7E" w:rsidRPr="005E3083" w:rsidRDefault="009F3E7E" w:rsidP="00F355E2">
      <w:pPr>
        <w:spacing w:after="0" w:line="480" w:lineRule="auto"/>
        <w:jc w:val="both"/>
        <w:rPr>
          <w:rFonts w:ascii="Times New Roman" w:hAnsi="Times New Roman" w:cs="Times New Roman"/>
          <w:sz w:val="24"/>
          <w:szCs w:val="24"/>
        </w:rPr>
      </w:pPr>
      <w:r w:rsidRPr="005E3083">
        <w:rPr>
          <w:rFonts w:ascii="Times New Roman" w:hAnsi="Times New Roman" w:cs="Times New Roman"/>
          <w:sz w:val="24"/>
          <w:szCs w:val="24"/>
        </w:rPr>
        <w:tab/>
      </w:r>
      <w:r w:rsidR="008112AE">
        <w:rPr>
          <w:rFonts w:ascii="Times New Roman" w:hAnsi="Times New Roman" w:cs="Times New Roman"/>
          <w:sz w:val="24"/>
          <w:szCs w:val="24"/>
        </w:rPr>
        <w:t>T</w:t>
      </w:r>
      <w:r w:rsidRPr="005E3083">
        <w:rPr>
          <w:rFonts w:ascii="Times New Roman" w:hAnsi="Times New Roman" w:cs="Times New Roman"/>
          <w:sz w:val="24"/>
          <w:szCs w:val="24"/>
        </w:rPr>
        <w:t>he presence of market imperfections</w:t>
      </w:r>
      <w:r w:rsidR="008112AE" w:rsidRPr="005E3083">
        <w:rPr>
          <w:rFonts w:ascii="Times New Roman" w:hAnsi="Times New Roman" w:cs="Times New Roman"/>
          <w:sz w:val="24"/>
          <w:szCs w:val="24"/>
        </w:rPr>
        <w:t>—</w:t>
      </w:r>
      <w:r w:rsidR="008A1B9A">
        <w:rPr>
          <w:rFonts w:ascii="Times New Roman" w:hAnsi="Times New Roman" w:cs="Times New Roman"/>
          <w:sz w:val="24"/>
          <w:szCs w:val="24"/>
        </w:rPr>
        <w:t xml:space="preserve">which may arise from circumstances such as </w:t>
      </w:r>
      <w:r w:rsidR="008112AE" w:rsidRPr="005E3083">
        <w:rPr>
          <w:rFonts w:ascii="Times New Roman" w:hAnsi="Times New Roman" w:cs="Times New Roman"/>
          <w:sz w:val="24"/>
          <w:szCs w:val="24"/>
        </w:rPr>
        <w:t xml:space="preserve">externalities, market power, </w:t>
      </w:r>
      <w:r w:rsidR="008A1B9A">
        <w:rPr>
          <w:rFonts w:ascii="Times New Roman" w:hAnsi="Times New Roman" w:cs="Times New Roman"/>
          <w:sz w:val="24"/>
          <w:szCs w:val="24"/>
        </w:rPr>
        <w:t>or</w:t>
      </w:r>
      <w:r w:rsidR="008A1B9A" w:rsidRPr="005E3083">
        <w:rPr>
          <w:rFonts w:ascii="Times New Roman" w:hAnsi="Times New Roman" w:cs="Times New Roman"/>
          <w:sz w:val="24"/>
          <w:szCs w:val="24"/>
        </w:rPr>
        <w:t xml:space="preserve"> </w:t>
      </w:r>
      <w:r w:rsidR="008112AE" w:rsidRPr="005E3083">
        <w:rPr>
          <w:rFonts w:ascii="Times New Roman" w:hAnsi="Times New Roman" w:cs="Times New Roman"/>
          <w:sz w:val="24"/>
          <w:szCs w:val="24"/>
        </w:rPr>
        <w:t>information asymmetries—</w:t>
      </w:r>
      <w:r w:rsidRPr="005E3083">
        <w:rPr>
          <w:rFonts w:ascii="Times New Roman" w:hAnsi="Times New Roman" w:cs="Times New Roman"/>
          <w:sz w:val="24"/>
          <w:szCs w:val="24"/>
        </w:rPr>
        <w:t xml:space="preserve">means that </w:t>
      </w:r>
      <w:r w:rsidR="008112AE">
        <w:rPr>
          <w:rFonts w:ascii="Times New Roman" w:hAnsi="Times New Roman" w:cs="Times New Roman"/>
          <w:sz w:val="24"/>
          <w:szCs w:val="24"/>
        </w:rPr>
        <w:t xml:space="preserve">the behavior that </w:t>
      </w:r>
      <w:r w:rsidRPr="005E3083">
        <w:rPr>
          <w:rFonts w:ascii="Times New Roman" w:hAnsi="Times New Roman" w:cs="Times New Roman"/>
          <w:sz w:val="24"/>
          <w:szCs w:val="24"/>
        </w:rPr>
        <w:t>maximiz</w:t>
      </w:r>
      <w:r w:rsidR="008112AE">
        <w:rPr>
          <w:rFonts w:ascii="Times New Roman" w:hAnsi="Times New Roman" w:cs="Times New Roman"/>
          <w:sz w:val="24"/>
          <w:szCs w:val="24"/>
        </w:rPr>
        <w:t xml:space="preserve">es a corporation’s </w:t>
      </w:r>
      <w:r w:rsidRPr="005E3083">
        <w:rPr>
          <w:rFonts w:ascii="Times New Roman" w:hAnsi="Times New Roman" w:cs="Times New Roman"/>
          <w:sz w:val="24"/>
          <w:szCs w:val="24"/>
        </w:rPr>
        <w:t xml:space="preserve">share value </w:t>
      </w:r>
      <w:r w:rsidR="008112AE">
        <w:rPr>
          <w:rFonts w:ascii="Times New Roman" w:hAnsi="Times New Roman" w:cs="Times New Roman"/>
          <w:sz w:val="24"/>
          <w:szCs w:val="24"/>
        </w:rPr>
        <w:t xml:space="preserve">is not </w:t>
      </w:r>
      <w:r w:rsidR="00D366CB">
        <w:rPr>
          <w:rFonts w:ascii="Times New Roman" w:hAnsi="Times New Roman" w:cs="Times New Roman"/>
          <w:sz w:val="24"/>
          <w:szCs w:val="24"/>
        </w:rPr>
        <w:t xml:space="preserve">necessarily </w:t>
      </w:r>
      <w:r w:rsidR="008112AE">
        <w:rPr>
          <w:rFonts w:ascii="Times New Roman" w:hAnsi="Times New Roman" w:cs="Times New Roman"/>
          <w:sz w:val="24"/>
          <w:szCs w:val="24"/>
        </w:rPr>
        <w:t xml:space="preserve">the one that </w:t>
      </w:r>
      <w:r w:rsidRPr="005E3083">
        <w:rPr>
          <w:rFonts w:ascii="Times New Roman" w:hAnsi="Times New Roman" w:cs="Times New Roman"/>
          <w:sz w:val="24"/>
          <w:szCs w:val="24"/>
        </w:rPr>
        <w:t>maximize</w:t>
      </w:r>
      <w:r w:rsidR="008112AE">
        <w:rPr>
          <w:rFonts w:ascii="Times New Roman" w:hAnsi="Times New Roman" w:cs="Times New Roman"/>
          <w:sz w:val="24"/>
          <w:szCs w:val="24"/>
        </w:rPr>
        <w:t>s</w:t>
      </w:r>
      <w:r w:rsidRPr="005E3083">
        <w:rPr>
          <w:rFonts w:ascii="Times New Roman" w:hAnsi="Times New Roman" w:cs="Times New Roman"/>
          <w:sz w:val="24"/>
          <w:szCs w:val="24"/>
        </w:rPr>
        <w:t xml:space="preserve"> </w:t>
      </w:r>
      <w:r w:rsidR="008112AE">
        <w:rPr>
          <w:rFonts w:ascii="Times New Roman" w:hAnsi="Times New Roman" w:cs="Times New Roman"/>
          <w:sz w:val="24"/>
          <w:szCs w:val="24"/>
        </w:rPr>
        <w:t xml:space="preserve">its net </w:t>
      </w:r>
      <w:r w:rsidRPr="005E3083">
        <w:rPr>
          <w:rFonts w:ascii="Times New Roman" w:hAnsi="Times New Roman" w:cs="Times New Roman"/>
          <w:sz w:val="24"/>
          <w:szCs w:val="24"/>
        </w:rPr>
        <w:t>contribution to society’s total wealth</w:t>
      </w:r>
      <w:r w:rsidR="00796064">
        <w:rPr>
          <w:rFonts w:ascii="Times New Roman" w:hAnsi="Times New Roman" w:cs="Times New Roman"/>
          <w:sz w:val="24"/>
          <w:szCs w:val="24"/>
        </w:rPr>
        <w:t xml:space="preserve">. </w:t>
      </w:r>
      <w:r w:rsidR="008112AE">
        <w:rPr>
          <w:rFonts w:ascii="Times New Roman" w:hAnsi="Times New Roman" w:cs="Times New Roman"/>
          <w:sz w:val="24"/>
          <w:szCs w:val="24"/>
        </w:rPr>
        <w:t>In this situation, some equity investors may prefer that it behave in the former fashion and others prefer that it behave in the latter fashion</w:t>
      </w:r>
      <w:r w:rsidR="00796064">
        <w:rPr>
          <w:rFonts w:ascii="Times New Roman" w:hAnsi="Times New Roman" w:cs="Times New Roman"/>
          <w:sz w:val="24"/>
          <w:szCs w:val="24"/>
        </w:rPr>
        <w:t xml:space="preserve">. </w:t>
      </w:r>
      <w:r w:rsidRPr="005E3083">
        <w:rPr>
          <w:rFonts w:ascii="Times New Roman" w:hAnsi="Times New Roman" w:cs="Times New Roman"/>
          <w:sz w:val="24"/>
          <w:szCs w:val="24"/>
        </w:rPr>
        <w:t>Understanding the reason why requires reference to the story of how, in the absence of any market imperfections</w:t>
      </w:r>
      <w:r w:rsidR="002A013F">
        <w:rPr>
          <w:rFonts w:ascii="Times New Roman" w:hAnsi="Times New Roman" w:cs="Times New Roman"/>
          <w:sz w:val="24"/>
          <w:szCs w:val="24"/>
        </w:rPr>
        <w:t xml:space="preserve">, </w:t>
      </w:r>
      <w:r w:rsidRPr="005E3083">
        <w:rPr>
          <w:rFonts w:ascii="Times New Roman" w:hAnsi="Times New Roman" w:cs="Times New Roman"/>
          <w:sz w:val="24"/>
          <w:szCs w:val="24"/>
        </w:rPr>
        <w:t>a corporation that is maximizing the value of its shares (the future expected flow of residuals to its shareholders discounted to present value) would in fact maximize its contribution to society’s total wealth, a concept often referred to as the “first theorem of welfare economics.”</w:t>
      </w:r>
      <w:r w:rsidRPr="005E3083">
        <w:rPr>
          <w:rStyle w:val="FootnoteReference"/>
          <w:rFonts w:ascii="Times New Roman" w:hAnsi="Times New Roman" w:cs="Times New Roman"/>
          <w:sz w:val="24"/>
          <w:szCs w:val="24"/>
        </w:rPr>
        <w:footnoteReference w:id="21"/>
      </w:r>
      <w:r w:rsidRPr="005E3083">
        <w:rPr>
          <w:rFonts w:ascii="Times New Roman" w:hAnsi="Times New Roman" w:cs="Times New Roman"/>
          <w:sz w:val="24"/>
          <w:szCs w:val="24"/>
        </w:rPr>
        <w:t xml:space="preserve"> The idea is that in such an environment, the amount that the firm pays as expenses is the value at the margin of what the corporation takes from, or how it otherwise negatively impacts, the world in order to produce its output. And the amount it receives as revenue for this output is the value at the margin of what it gives back to the world. The difference – its residuals – is its contribution to society’s total wealth. </w:t>
      </w:r>
    </w:p>
    <w:p w14:paraId="385D2BA0" w14:textId="191EB71F" w:rsidR="009F3E7E" w:rsidRPr="005E3083" w:rsidRDefault="009F3E7E" w:rsidP="00F355E2">
      <w:pPr>
        <w:spacing w:after="0" w:line="480" w:lineRule="auto"/>
        <w:jc w:val="both"/>
        <w:rPr>
          <w:rFonts w:ascii="Times New Roman" w:hAnsi="Times New Roman" w:cs="Times New Roman"/>
          <w:sz w:val="24"/>
          <w:szCs w:val="24"/>
        </w:rPr>
      </w:pPr>
      <w:r w:rsidRPr="005E3083">
        <w:rPr>
          <w:rFonts w:ascii="Times New Roman" w:hAnsi="Times New Roman" w:cs="Times New Roman"/>
          <w:sz w:val="24"/>
          <w:szCs w:val="24"/>
        </w:rPr>
        <w:tab/>
        <w:t xml:space="preserve">The real world, though, has market imperfections. Producing a corporation’s output may, for example, involve the release of carbon and other pollutants, negative impacts on the world for </w:t>
      </w:r>
      <w:r w:rsidRPr="005E3083">
        <w:rPr>
          <w:rFonts w:ascii="Times New Roman" w:hAnsi="Times New Roman" w:cs="Times New Roman"/>
          <w:sz w:val="24"/>
          <w:szCs w:val="24"/>
        </w:rPr>
        <w:lastRenderedPageBreak/>
        <w:t>which it may pay nothing</w:t>
      </w:r>
      <w:r w:rsidR="00D775F4">
        <w:rPr>
          <w:rFonts w:ascii="Times New Roman" w:hAnsi="Times New Roman" w:cs="Times New Roman"/>
          <w:sz w:val="24"/>
          <w:szCs w:val="24"/>
        </w:rPr>
        <w:t xml:space="preserve"> or, more generally, pay less than the conduct’s social cost</w:t>
      </w:r>
      <w:r w:rsidRPr="005E3083">
        <w:rPr>
          <w:rFonts w:ascii="Times New Roman" w:hAnsi="Times New Roman" w:cs="Times New Roman"/>
          <w:sz w:val="24"/>
          <w:szCs w:val="24"/>
        </w:rPr>
        <w:t>.</w:t>
      </w:r>
      <w:r w:rsidRPr="005E3083">
        <w:rPr>
          <w:rStyle w:val="FootnoteReference"/>
          <w:rFonts w:ascii="Times New Roman" w:hAnsi="Times New Roman" w:cs="Times New Roman"/>
          <w:sz w:val="24"/>
          <w:szCs w:val="24"/>
        </w:rPr>
        <w:footnoteReference w:id="22"/>
      </w:r>
      <w:r w:rsidRPr="005E3083">
        <w:rPr>
          <w:rFonts w:ascii="Times New Roman" w:hAnsi="Times New Roman" w:cs="Times New Roman"/>
          <w:sz w:val="24"/>
          <w:szCs w:val="24"/>
        </w:rPr>
        <w:t xml:space="preserve"> In deciding how, and how much, to produce, the share value maximizing corporation </w:t>
      </w:r>
      <w:r w:rsidR="00D775F4">
        <w:rPr>
          <w:rFonts w:ascii="Times New Roman" w:hAnsi="Times New Roman" w:cs="Times New Roman"/>
          <w:sz w:val="24"/>
          <w:szCs w:val="24"/>
        </w:rPr>
        <w:t>does not fully take into</w:t>
      </w:r>
      <w:r w:rsidRPr="005E3083">
        <w:rPr>
          <w:rFonts w:ascii="Times New Roman" w:hAnsi="Times New Roman" w:cs="Times New Roman"/>
          <w:sz w:val="24"/>
          <w:szCs w:val="24"/>
        </w:rPr>
        <w:t xml:space="preserve"> account these negative impacts. Similarly, when a corporation with market power maximizes share value, it will produce at a level whereby its price is greater than its marginal cost, i.e., it in fact could contribute more to social welfare than it does if </w:t>
      </w:r>
      <w:r w:rsidR="002A013F">
        <w:rPr>
          <w:rFonts w:ascii="Times New Roman" w:hAnsi="Times New Roman" w:cs="Times New Roman"/>
          <w:sz w:val="24"/>
          <w:szCs w:val="24"/>
        </w:rPr>
        <w:t xml:space="preserve">it instead </w:t>
      </w:r>
      <w:r w:rsidRPr="005E3083">
        <w:rPr>
          <w:rFonts w:ascii="Times New Roman" w:hAnsi="Times New Roman" w:cs="Times New Roman"/>
          <w:sz w:val="24"/>
          <w:szCs w:val="24"/>
        </w:rPr>
        <w:t>produced at a higher level with a commensurate lower price</w:t>
      </w:r>
      <w:r w:rsidR="00796064">
        <w:rPr>
          <w:rFonts w:ascii="Times New Roman" w:hAnsi="Times New Roman" w:cs="Times New Roman"/>
          <w:sz w:val="24"/>
          <w:szCs w:val="24"/>
        </w:rPr>
        <w:t>.</w:t>
      </w:r>
      <w:bookmarkStart w:id="8" w:name="_Ref180749054"/>
      <w:r w:rsidR="00A071CB">
        <w:rPr>
          <w:rStyle w:val="FootnoteReference"/>
          <w:rFonts w:ascii="Times New Roman" w:hAnsi="Times New Roman" w:cs="Times New Roman"/>
          <w:sz w:val="24"/>
          <w:szCs w:val="24"/>
        </w:rPr>
        <w:footnoteReference w:id="23"/>
      </w:r>
      <w:bookmarkEnd w:id="8"/>
      <w:r w:rsidR="00796064">
        <w:rPr>
          <w:rFonts w:ascii="Times New Roman" w:hAnsi="Times New Roman" w:cs="Times New Roman"/>
          <w:sz w:val="24"/>
          <w:szCs w:val="24"/>
        </w:rPr>
        <w:t xml:space="preserve"> </w:t>
      </w:r>
      <w:r w:rsidR="008679EA">
        <w:rPr>
          <w:rFonts w:ascii="Times New Roman" w:hAnsi="Times New Roman" w:cs="Times New Roman"/>
          <w:sz w:val="24"/>
          <w:szCs w:val="24"/>
        </w:rPr>
        <w:t>And, i</w:t>
      </w:r>
      <w:r w:rsidRPr="005E3083">
        <w:rPr>
          <w:rFonts w:ascii="Times New Roman" w:hAnsi="Times New Roman" w:cs="Times New Roman"/>
          <w:sz w:val="24"/>
          <w:szCs w:val="24"/>
        </w:rPr>
        <w:t xml:space="preserve">f a corporation knows negative things about the qualities of its product that its customers do not, the price consumers are willing to pay may exceed </w:t>
      </w:r>
      <w:r w:rsidR="00533062">
        <w:rPr>
          <w:rFonts w:ascii="Times New Roman" w:hAnsi="Times New Roman" w:cs="Times New Roman"/>
          <w:sz w:val="24"/>
          <w:szCs w:val="24"/>
        </w:rPr>
        <w:t xml:space="preserve">what in fact is </w:t>
      </w:r>
      <w:r w:rsidRPr="005E3083">
        <w:rPr>
          <w:rFonts w:ascii="Times New Roman" w:hAnsi="Times New Roman" w:cs="Times New Roman"/>
          <w:sz w:val="24"/>
          <w:szCs w:val="24"/>
        </w:rPr>
        <w:t xml:space="preserve">its value to them. </w:t>
      </w:r>
      <w:r w:rsidR="009564CF">
        <w:rPr>
          <w:rFonts w:ascii="Times New Roman" w:hAnsi="Times New Roman" w:cs="Times New Roman"/>
          <w:sz w:val="24"/>
          <w:szCs w:val="24"/>
        </w:rPr>
        <w:t xml:space="preserve"> </w:t>
      </w:r>
    </w:p>
    <w:p w14:paraId="695F7AE7" w14:textId="15416918" w:rsidR="009F3E7E" w:rsidRDefault="009F3E7E" w:rsidP="00F355E2">
      <w:pPr>
        <w:spacing w:after="0" w:line="480" w:lineRule="auto"/>
        <w:jc w:val="both"/>
        <w:rPr>
          <w:rFonts w:ascii="Times New Roman" w:hAnsi="Times New Roman" w:cs="Times New Roman"/>
          <w:sz w:val="24"/>
          <w:szCs w:val="24"/>
        </w:rPr>
      </w:pPr>
      <w:r w:rsidRPr="005E3083">
        <w:rPr>
          <w:rFonts w:ascii="Times New Roman" w:hAnsi="Times New Roman" w:cs="Times New Roman"/>
          <w:sz w:val="24"/>
          <w:szCs w:val="24"/>
        </w:rPr>
        <w:tab/>
        <w:t xml:space="preserve">In </w:t>
      </w:r>
      <w:r w:rsidR="00EE4964">
        <w:rPr>
          <w:rFonts w:ascii="Times New Roman" w:hAnsi="Times New Roman" w:cs="Times New Roman"/>
          <w:sz w:val="24"/>
          <w:szCs w:val="24"/>
        </w:rPr>
        <w:t xml:space="preserve">any such situation, </w:t>
      </w:r>
      <w:r w:rsidRPr="005E3083">
        <w:rPr>
          <w:rFonts w:ascii="Times New Roman" w:hAnsi="Times New Roman" w:cs="Times New Roman"/>
          <w:sz w:val="24"/>
          <w:szCs w:val="24"/>
        </w:rPr>
        <w:t>an imperfection-correcting deviation from share-value-maximizing behavior can lead in aggregate to more benefit than harm to society</w:t>
      </w:r>
      <w:r w:rsidR="00207022">
        <w:rPr>
          <w:rFonts w:ascii="Times New Roman" w:hAnsi="Times New Roman" w:cs="Times New Roman"/>
          <w:sz w:val="24"/>
          <w:szCs w:val="24"/>
        </w:rPr>
        <w:t xml:space="preserve"> as a whole</w:t>
      </w:r>
      <w:r w:rsidRPr="005E3083">
        <w:rPr>
          <w:rFonts w:ascii="Times New Roman" w:hAnsi="Times New Roman" w:cs="Times New Roman"/>
          <w:sz w:val="24"/>
          <w:szCs w:val="24"/>
        </w:rPr>
        <w:t>.</w:t>
      </w:r>
      <w:bookmarkStart w:id="9" w:name="_Ref180490774"/>
      <w:r w:rsidRPr="005E3083">
        <w:rPr>
          <w:rStyle w:val="FootnoteReference"/>
          <w:rFonts w:ascii="Times New Roman" w:hAnsi="Times New Roman" w:cs="Times New Roman"/>
          <w:sz w:val="24"/>
          <w:szCs w:val="24"/>
        </w:rPr>
        <w:footnoteReference w:id="24"/>
      </w:r>
      <w:bookmarkEnd w:id="9"/>
      <w:r w:rsidRPr="005E3083">
        <w:rPr>
          <w:rFonts w:ascii="Times New Roman" w:hAnsi="Times New Roman" w:cs="Times New Roman"/>
          <w:sz w:val="24"/>
          <w:szCs w:val="24"/>
        </w:rPr>
        <w:t xml:space="preserve">  </w:t>
      </w:r>
      <w:r w:rsidR="00EE4964">
        <w:rPr>
          <w:rFonts w:ascii="Times New Roman" w:hAnsi="Times New Roman" w:cs="Times New Roman"/>
          <w:sz w:val="24"/>
          <w:szCs w:val="24"/>
        </w:rPr>
        <w:t>M</w:t>
      </w:r>
      <w:r w:rsidRPr="005E3083">
        <w:rPr>
          <w:rFonts w:ascii="Times New Roman" w:hAnsi="Times New Roman" w:cs="Times New Roman"/>
          <w:sz w:val="24"/>
          <w:szCs w:val="24"/>
        </w:rPr>
        <w:t xml:space="preserve">ost people are other-regarding </w:t>
      </w:r>
      <w:r w:rsidR="002A013F">
        <w:rPr>
          <w:rFonts w:ascii="Times New Roman" w:hAnsi="Times New Roman" w:cs="Times New Roman"/>
          <w:sz w:val="24"/>
          <w:szCs w:val="24"/>
        </w:rPr>
        <w:t xml:space="preserve">to </w:t>
      </w:r>
      <w:r w:rsidRPr="005E3083">
        <w:rPr>
          <w:rFonts w:ascii="Times New Roman" w:hAnsi="Times New Roman" w:cs="Times New Roman"/>
          <w:sz w:val="24"/>
          <w:szCs w:val="24"/>
        </w:rPr>
        <w:t xml:space="preserve">some </w:t>
      </w:r>
      <w:r w:rsidR="002A013F">
        <w:rPr>
          <w:rFonts w:ascii="Times New Roman" w:hAnsi="Times New Roman" w:cs="Times New Roman"/>
          <w:sz w:val="24"/>
          <w:szCs w:val="24"/>
        </w:rPr>
        <w:t>extent</w:t>
      </w:r>
      <w:r w:rsidR="00207022">
        <w:rPr>
          <w:rFonts w:ascii="Times New Roman" w:hAnsi="Times New Roman" w:cs="Times New Roman"/>
          <w:sz w:val="24"/>
          <w:szCs w:val="24"/>
        </w:rPr>
        <w:t xml:space="preserve"> at least</w:t>
      </w:r>
      <w:r w:rsidR="00796064">
        <w:rPr>
          <w:rFonts w:ascii="Times New Roman" w:hAnsi="Times New Roman" w:cs="Times New Roman"/>
          <w:sz w:val="24"/>
          <w:szCs w:val="24"/>
        </w:rPr>
        <w:t xml:space="preserve">. </w:t>
      </w:r>
      <w:r w:rsidR="00EE4964">
        <w:rPr>
          <w:rFonts w:ascii="Times New Roman" w:hAnsi="Times New Roman" w:cs="Times New Roman"/>
          <w:sz w:val="24"/>
          <w:szCs w:val="24"/>
        </w:rPr>
        <w:t>Because of this</w:t>
      </w:r>
      <w:r w:rsidR="002A013F">
        <w:rPr>
          <w:rFonts w:ascii="Times New Roman" w:hAnsi="Times New Roman" w:cs="Times New Roman"/>
          <w:sz w:val="24"/>
          <w:szCs w:val="24"/>
        </w:rPr>
        <w:t>, so</w:t>
      </w:r>
      <w:r w:rsidRPr="005E3083">
        <w:rPr>
          <w:rFonts w:ascii="Times New Roman" w:hAnsi="Times New Roman" w:cs="Times New Roman"/>
          <w:sz w:val="24"/>
          <w:szCs w:val="24"/>
        </w:rPr>
        <w:t xml:space="preserve">me of a corporation’s equity investors may </w:t>
      </w:r>
      <w:r w:rsidR="00EE4964">
        <w:rPr>
          <w:rFonts w:ascii="Times New Roman" w:hAnsi="Times New Roman" w:cs="Times New Roman"/>
          <w:sz w:val="24"/>
          <w:szCs w:val="24"/>
        </w:rPr>
        <w:t xml:space="preserve">well </w:t>
      </w:r>
      <w:r w:rsidRPr="005E3083">
        <w:rPr>
          <w:rFonts w:ascii="Times New Roman" w:hAnsi="Times New Roman" w:cs="Times New Roman"/>
          <w:sz w:val="24"/>
          <w:szCs w:val="24"/>
        </w:rPr>
        <w:t>prefer that it deviate from share value maximizing behavior</w:t>
      </w:r>
      <w:r w:rsidR="002A013F">
        <w:rPr>
          <w:rFonts w:ascii="Times New Roman" w:hAnsi="Times New Roman" w:cs="Times New Roman"/>
          <w:sz w:val="24"/>
          <w:szCs w:val="24"/>
        </w:rPr>
        <w:t xml:space="preserve"> in order to improve </w:t>
      </w:r>
      <w:r w:rsidR="00207022">
        <w:rPr>
          <w:rFonts w:ascii="Times New Roman" w:hAnsi="Times New Roman" w:cs="Times New Roman"/>
          <w:sz w:val="24"/>
          <w:szCs w:val="24"/>
        </w:rPr>
        <w:t xml:space="preserve">the </w:t>
      </w:r>
      <w:r w:rsidR="002A013F">
        <w:rPr>
          <w:rFonts w:ascii="Times New Roman" w:hAnsi="Times New Roman" w:cs="Times New Roman"/>
          <w:sz w:val="24"/>
          <w:szCs w:val="24"/>
        </w:rPr>
        <w:t>aggregate welfare of their fellow human beings even if that means they sacrifice something in terms of share value</w:t>
      </w:r>
      <w:r w:rsidRPr="005E3083">
        <w:rPr>
          <w:rFonts w:ascii="Times New Roman" w:hAnsi="Times New Roman" w:cs="Times New Roman"/>
          <w:sz w:val="24"/>
          <w:szCs w:val="24"/>
        </w:rPr>
        <w:t>.</w:t>
      </w:r>
      <w:r w:rsidR="00B0708A">
        <w:rPr>
          <w:rStyle w:val="FootnoteReference"/>
          <w:rFonts w:ascii="Times New Roman" w:hAnsi="Times New Roman" w:cs="Times New Roman"/>
          <w:sz w:val="24"/>
          <w:szCs w:val="24"/>
        </w:rPr>
        <w:footnoteReference w:id="25"/>
      </w:r>
      <w:r w:rsidRPr="005E3083">
        <w:rPr>
          <w:rFonts w:ascii="Times New Roman" w:hAnsi="Times New Roman" w:cs="Times New Roman"/>
          <w:sz w:val="24"/>
          <w:szCs w:val="24"/>
        </w:rPr>
        <w:t xml:space="preserve"> </w:t>
      </w:r>
      <w:r w:rsidR="00EE4964">
        <w:rPr>
          <w:rFonts w:ascii="Times New Roman" w:hAnsi="Times New Roman" w:cs="Times New Roman"/>
          <w:sz w:val="24"/>
          <w:szCs w:val="24"/>
        </w:rPr>
        <w:t>T</w:t>
      </w:r>
      <w:r w:rsidRPr="005E3083">
        <w:rPr>
          <w:rFonts w:ascii="Times New Roman" w:hAnsi="Times New Roman" w:cs="Times New Roman"/>
          <w:sz w:val="24"/>
          <w:szCs w:val="24"/>
        </w:rPr>
        <w:t>here will likely be differences among the corporation’s equity investors</w:t>
      </w:r>
      <w:r w:rsidR="002A013F">
        <w:rPr>
          <w:rFonts w:ascii="Times New Roman" w:hAnsi="Times New Roman" w:cs="Times New Roman"/>
          <w:sz w:val="24"/>
          <w:szCs w:val="24"/>
        </w:rPr>
        <w:t xml:space="preserve"> </w:t>
      </w:r>
      <w:r w:rsidR="002A013F">
        <w:rPr>
          <w:rFonts w:ascii="Times New Roman" w:hAnsi="Times New Roman" w:cs="Times New Roman"/>
          <w:sz w:val="24"/>
          <w:szCs w:val="24"/>
        </w:rPr>
        <w:lastRenderedPageBreak/>
        <w:t>in this regard</w:t>
      </w:r>
      <w:r w:rsidRPr="005E3083">
        <w:rPr>
          <w:rFonts w:ascii="Times New Roman" w:hAnsi="Times New Roman" w:cs="Times New Roman"/>
          <w:sz w:val="24"/>
          <w:szCs w:val="24"/>
        </w:rPr>
        <w:t xml:space="preserve">, </w:t>
      </w:r>
      <w:r w:rsidR="00EE4964">
        <w:rPr>
          <w:rFonts w:ascii="Times New Roman" w:hAnsi="Times New Roman" w:cs="Times New Roman"/>
          <w:sz w:val="24"/>
          <w:szCs w:val="24"/>
        </w:rPr>
        <w:t xml:space="preserve">however, </w:t>
      </w:r>
      <w:r w:rsidRPr="005E3083">
        <w:rPr>
          <w:rFonts w:ascii="Times New Roman" w:hAnsi="Times New Roman" w:cs="Times New Roman"/>
          <w:sz w:val="24"/>
          <w:szCs w:val="24"/>
        </w:rPr>
        <w:t xml:space="preserve">with some wishing the corporation </w:t>
      </w:r>
      <w:r w:rsidR="00055D3E">
        <w:rPr>
          <w:rFonts w:ascii="Times New Roman" w:hAnsi="Times New Roman" w:cs="Times New Roman"/>
          <w:sz w:val="24"/>
          <w:szCs w:val="24"/>
        </w:rPr>
        <w:t xml:space="preserve">not </w:t>
      </w:r>
      <w:r w:rsidRPr="005E3083">
        <w:rPr>
          <w:rFonts w:ascii="Times New Roman" w:hAnsi="Times New Roman" w:cs="Times New Roman"/>
          <w:sz w:val="24"/>
          <w:szCs w:val="24"/>
        </w:rPr>
        <w:t>to deviate at all, some a little bit</w:t>
      </w:r>
      <w:r w:rsidR="002A013F">
        <w:rPr>
          <w:rFonts w:ascii="Times New Roman" w:hAnsi="Times New Roman" w:cs="Times New Roman"/>
          <w:sz w:val="24"/>
          <w:szCs w:val="24"/>
        </w:rPr>
        <w:t xml:space="preserve"> to partially correct for the imperfection</w:t>
      </w:r>
      <w:r w:rsidRPr="005E3083">
        <w:rPr>
          <w:rFonts w:ascii="Times New Roman" w:hAnsi="Times New Roman" w:cs="Times New Roman"/>
          <w:sz w:val="24"/>
          <w:szCs w:val="24"/>
        </w:rPr>
        <w:t xml:space="preserve">, and others </w:t>
      </w:r>
      <w:r w:rsidR="00EE4964">
        <w:rPr>
          <w:rFonts w:ascii="Times New Roman" w:hAnsi="Times New Roman" w:cs="Times New Roman"/>
          <w:sz w:val="24"/>
          <w:szCs w:val="24"/>
        </w:rPr>
        <w:t xml:space="preserve">to deviate </w:t>
      </w:r>
      <w:r w:rsidRPr="005E3083">
        <w:rPr>
          <w:rFonts w:ascii="Times New Roman" w:hAnsi="Times New Roman" w:cs="Times New Roman"/>
          <w:sz w:val="24"/>
          <w:szCs w:val="24"/>
        </w:rPr>
        <w:t>more</w:t>
      </w:r>
      <w:r w:rsidR="00EE4964">
        <w:rPr>
          <w:rFonts w:ascii="Times New Roman" w:hAnsi="Times New Roman" w:cs="Times New Roman"/>
          <w:sz w:val="24"/>
          <w:szCs w:val="24"/>
        </w:rPr>
        <w:t xml:space="preserve"> for a fuller correction</w:t>
      </w:r>
      <w:r w:rsidR="00796064">
        <w:rPr>
          <w:rFonts w:ascii="Times New Roman" w:hAnsi="Times New Roman" w:cs="Times New Roman"/>
          <w:sz w:val="24"/>
          <w:szCs w:val="24"/>
        </w:rPr>
        <w:t xml:space="preserve">. </w:t>
      </w:r>
      <w:r w:rsidR="002A013F">
        <w:rPr>
          <w:rFonts w:ascii="Times New Roman" w:hAnsi="Times New Roman" w:cs="Times New Roman"/>
          <w:sz w:val="24"/>
          <w:szCs w:val="24"/>
        </w:rPr>
        <w:t xml:space="preserve">In other words, </w:t>
      </w:r>
      <w:r w:rsidRPr="005E3083">
        <w:rPr>
          <w:rFonts w:ascii="Times New Roman" w:hAnsi="Times New Roman" w:cs="Times New Roman"/>
          <w:sz w:val="24"/>
          <w:szCs w:val="24"/>
        </w:rPr>
        <w:t>the</w:t>
      </w:r>
      <w:r w:rsidR="002A013F">
        <w:rPr>
          <w:rFonts w:ascii="Times New Roman" w:hAnsi="Times New Roman" w:cs="Times New Roman"/>
          <w:sz w:val="24"/>
          <w:szCs w:val="24"/>
        </w:rPr>
        <w:t xml:space="preserve">se equity holders </w:t>
      </w:r>
      <w:r w:rsidRPr="005E3083">
        <w:rPr>
          <w:rFonts w:ascii="Times New Roman" w:hAnsi="Times New Roman" w:cs="Times New Roman"/>
          <w:sz w:val="24"/>
          <w:szCs w:val="24"/>
        </w:rPr>
        <w:t xml:space="preserve">will likely differ </w:t>
      </w:r>
      <w:r w:rsidR="002A013F">
        <w:rPr>
          <w:rFonts w:ascii="Times New Roman" w:hAnsi="Times New Roman" w:cs="Times New Roman"/>
          <w:sz w:val="24"/>
          <w:szCs w:val="24"/>
        </w:rPr>
        <w:t xml:space="preserve">among themselves </w:t>
      </w:r>
      <w:r w:rsidRPr="005E3083">
        <w:rPr>
          <w:rFonts w:ascii="Times New Roman" w:hAnsi="Times New Roman" w:cs="Times New Roman"/>
          <w:sz w:val="24"/>
          <w:szCs w:val="24"/>
        </w:rPr>
        <w:t>on the rate, if any, at which each would trade off the net benefits to others versus her resulting loss in share value</w:t>
      </w:r>
      <w:r w:rsidR="00796064">
        <w:rPr>
          <w:rFonts w:ascii="Times New Roman" w:hAnsi="Times New Roman" w:cs="Times New Roman"/>
          <w:sz w:val="24"/>
          <w:szCs w:val="24"/>
        </w:rPr>
        <w:t xml:space="preserve">. </w:t>
      </w:r>
    </w:p>
    <w:p w14:paraId="1B1C2EEE" w14:textId="65D010E4" w:rsidR="00422EAB" w:rsidRPr="005E3083" w:rsidRDefault="00422EAB" w:rsidP="00F355E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this connection, it needs to be recognized from the start that a shareholder induced deviation of share value maximization is not the only way that society handles these imperfections. Traditionally, the primary way has been through governmental imposed rules on corporate behavior backed by fines and criminal sanctions and by behavior shaping taxes and subsidies.  Corporations are then invited to maximize share value within this </w:t>
      </w:r>
      <w:r w:rsidR="009170BE">
        <w:rPr>
          <w:rFonts w:ascii="Times New Roman" w:hAnsi="Times New Roman" w:cs="Times New Roman"/>
          <w:sz w:val="24"/>
          <w:szCs w:val="24"/>
        </w:rPr>
        <w:t xml:space="preserve">market imperfection correcting </w:t>
      </w:r>
      <w:r>
        <w:rPr>
          <w:rFonts w:ascii="Times New Roman" w:hAnsi="Times New Roman" w:cs="Times New Roman"/>
          <w:sz w:val="24"/>
          <w:szCs w:val="24"/>
        </w:rPr>
        <w:t xml:space="preserve">governmental </w:t>
      </w:r>
      <w:r w:rsidR="009170BE">
        <w:rPr>
          <w:rFonts w:ascii="Times New Roman" w:hAnsi="Times New Roman" w:cs="Times New Roman"/>
          <w:sz w:val="24"/>
          <w:szCs w:val="24"/>
        </w:rPr>
        <w:t>framework.  A corporation can also end up making its maximum contribution to society by acting in a share value maximizing way if its managers or workers on the input side or customers on the output side who care about the imperfections impose a high enough price should it not correct its behavior with regard to the imperfections.</w:t>
      </w:r>
      <w:r w:rsidR="009170BE">
        <w:rPr>
          <w:rStyle w:val="FootnoteReference"/>
          <w:rFonts w:ascii="Times New Roman" w:hAnsi="Times New Roman" w:cs="Times New Roman"/>
          <w:sz w:val="24"/>
          <w:szCs w:val="24"/>
        </w:rPr>
        <w:footnoteReference w:id="26"/>
      </w:r>
      <w:r w:rsidR="009170BE">
        <w:rPr>
          <w:rFonts w:ascii="Times New Roman" w:hAnsi="Times New Roman" w:cs="Times New Roman"/>
          <w:sz w:val="24"/>
          <w:szCs w:val="24"/>
        </w:rPr>
        <w:t xml:space="preserve"> </w:t>
      </w:r>
      <w:r w:rsidR="008058D4">
        <w:rPr>
          <w:rFonts w:ascii="Times New Roman" w:hAnsi="Times New Roman" w:cs="Times New Roman"/>
          <w:sz w:val="24"/>
          <w:szCs w:val="24"/>
        </w:rPr>
        <w:t xml:space="preserve">Proponents of adding to the influence of shareholders who care about these imperfections are driven in part by a feeling that these other ways of handling the imperfections are not working adequately. </w:t>
      </w:r>
    </w:p>
    <w:p w14:paraId="4C170438" w14:textId="77777777" w:rsidR="009F3E7E" w:rsidRPr="005E3083" w:rsidRDefault="009F3E7E" w:rsidP="00F355E2">
      <w:pPr>
        <w:spacing w:after="0" w:line="480" w:lineRule="auto"/>
        <w:jc w:val="center"/>
        <w:rPr>
          <w:rFonts w:ascii="Times New Roman" w:hAnsi="Times New Roman" w:cs="Times New Roman"/>
          <w:i/>
          <w:sz w:val="24"/>
          <w:szCs w:val="24"/>
        </w:rPr>
      </w:pPr>
      <w:r w:rsidRPr="005E3083">
        <w:rPr>
          <w:rFonts w:ascii="Times New Roman" w:hAnsi="Times New Roman" w:cs="Times New Roman"/>
          <w:i/>
          <w:sz w:val="24"/>
          <w:szCs w:val="24"/>
        </w:rPr>
        <w:t>B. Distribution</w:t>
      </w:r>
    </w:p>
    <w:p w14:paraId="4310A28C" w14:textId="6A80037F" w:rsidR="00AB2378" w:rsidRDefault="009F3E7E" w:rsidP="00F355E2">
      <w:pPr>
        <w:spacing w:after="0" w:line="480" w:lineRule="auto"/>
        <w:jc w:val="both"/>
        <w:rPr>
          <w:rFonts w:ascii="Times New Roman" w:hAnsi="Times New Roman" w:cs="Times New Roman"/>
          <w:sz w:val="24"/>
          <w:szCs w:val="24"/>
        </w:rPr>
      </w:pPr>
      <w:r w:rsidRPr="005E3083">
        <w:rPr>
          <w:rFonts w:ascii="Times New Roman" w:hAnsi="Times New Roman" w:cs="Times New Roman"/>
          <w:sz w:val="24"/>
          <w:szCs w:val="24"/>
        </w:rPr>
        <w:tab/>
      </w:r>
      <w:r w:rsidR="00EE4964">
        <w:rPr>
          <w:rFonts w:ascii="Times New Roman" w:hAnsi="Times New Roman" w:cs="Times New Roman"/>
          <w:sz w:val="24"/>
          <w:szCs w:val="24"/>
        </w:rPr>
        <w:t>The behavior of a corporation affects the wealth positions of persons beyond its equity investors, such as its workers, others in the communities in which it operates, and its customers</w:t>
      </w:r>
      <w:r w:rsidR="00796064">
        <w:rPr>
          <w:rFonts w:ascii="Times New Roman" w:hAnsi="Times New Roman" w:cs="Times New Roman"/>
          <w:sz w:val="24"/>
          <w:szCs w:val="24"/>
        </w:rPr>
        <w:t xml:space="preserve">. </w:t>
      </w:r>
      <w:r w:rsidR="00EE4964">
        <w:rPr>
          <w:rFonts w:ascii="Times New Roman" w:hAnsi="Times New Roman" w:cs="Times New Roman"/>
          <w:sz w:val="24"/>
          <w:szCs w:val="24"/>
        </w:rPr>
        <w:t>A</w:t>
      </w:r>
      <w:r w:rsidR="00772745">
        <w:rPr>
          <w:rFonts w:ascii="Times New Roman" w:hAnsi="Times New Roman" w:cs="Times New Roman"/>
          <w:sz w:val="24"/>
          <w:szCs w:val="24"/>
        </w:rPr>
        <w:t>ny</w:t>
      </w:r>
      <w:r w:rsidR="00EE4964">
        <w:rPr>
          <w:rFonts w:ascii="Times New Roman" w:hAnsi="Times New Roman" w:cs="Times New Roman"/>
          <w:sz w:val="24"/>
          <w:szCs w:val="24"/>
        </w:rPr>
        <w:t xml:space="preserve"> </w:t>
      </w:r>
      <w:r w:rsidR="00D42B0E">
        <w:rPr>
          <w:rFonts w:ascii="Times New Roman" w:hAnsi="Times New Roman" w:cs="Times New Roman"/>
          <w:sz w:val="24"/>
          <w:szCs w:val="24"/>
        </w:rPr>
        <w:t xml:space="preserve">corporate behavior that </w:t>
      </w:r>
      <w:r w:rsidR="00EE4964">
        <w:rPr>
          <w:rFonts w:ascii="Times New Roman" w:hAnsi="Times New Roman" w:cs="Times New Roman"/>
          <w:sz w:val="24"/>
          <w:szCs w:val="24"/>
        </w:rPr>
        <w:t>d</w:t>
      </w:r>
      <w:r w:rsidRPr="005E3083">
        <w:rPr>
          <w:rFonts w:ascii="Times New Roman" w:hAnsi="Times New Roman" w:cs="Times New Roman"/>
          <w:sz w:val="24"/>
          <w:szCs w:val="24"/>
        </w:rPr>
        <w:t>eviat</w:t>
      </w:r>
      <w:r w:rsidR="00D42B0E">
        <w:rPr>
          <w:rFonts w:ascii="Times New Roman" w:hAnsi="Times New Roman" w:cs="Times New Roman"/>
          <w:sz w:val="24"/>
          <w:szCs w:val="24"/>
        </w:rPr>
        <w:t xml:space="preserve">es </w:t>
      </w:r>
      <w:r w:rsidRPr="005E3083">
        <w:rPr>
          <w:rFonts w:ascii="Times New Roman" w:hAnsi="Times New Roman" w:cs="Times New Roman"/>
          <w:sz w:val="24"/>
          <w:szCs w:val="24"/>
        </w:rPr>
        <w:t>from share</w:t>
      </w:r>
      <w:r w:rsidR="00772745">
        <w:rPr>
          <w:rFonts w:ascii="Times New Roman" w:hAnsi="Times New Roman" w:cs="Times New Roman"/>
          <w:sz w:val="24"/>
          <w:szCs w:val="24"/>
        </w:rPr>
        <w:t>-</w:t>
      </w:r>
      <w:r w:rsidRPr="005E3083">
        <w:rPr>
          <w:rFonts w:ascii="Times New Roman" w:hAnsi="Times New Roman" w:cs="Times New Roman"/>
          <w:sz w:val="24"/>
          <w:szCs w:val="24"/>
        </w:rPr>
        <w:t>value</w:t>
      </w:r>
      <w:r w:rsidR="00772745">
        <w:rPr>
          <w:rFonts w:ascii="Times New Roman" w:hAnsi="Times New Roman" w:cs="Times New Roman"/>
          <w:sz w:val="24"/>
          <w:szCs w:val="24"/>
        </w:rPr>
        <w:t>-</w:t>
      </w:r>
      <w:r w:rsidRPr="005E3083">
        <w:rPr>
          <w:rFonts w:ascii="Times New Roman" w:hAnsi="Times New Roman" w:cs="Times New Roman"/>
          <w:sz w:val="24"/>
          <w:szCs w:val="24"/>
        </w:rPr>
        <w:t xml:space="preserve">maximizing </w:t>
      </w:r>
      <w:r w:rsidR="00772745">
        <w:rPr>
          <w:rFonts w:ascii="Times New Roman" w:hAnsi="Times New Roman" w:cs="Times New Roman"/>
          <w:sz w:val="24"/>
          <w:szCs w:val="24"/>
        </w:rPr>
        <w:t>behavior will likely leave some such persons better off and others worse off than if it did not deviate</w:t>
      </w:r>
      <w:r w:rsidR="00796064">
        <w:rPr>
          <w:rFonts w:ascii="Times New Roman" w:hAnsi="Times New Roman" w:cs="Times New Roman"/>
          <w:sz w:val="24"/>
          <w:szCs w:val="24"/>
        </w:rPr>
        <w:t xml:space="preserve">. </w:t>
      </w:r>
      <w:r w:rsidRPr="005E3083">
        <w:rPr>
          <w:rFonts w:ascii="Times New Roman" w:hAnsi="Times New Roman" w:cs="Times New Roman"/>
          <w:sz w:val="24"/>
          <w:szCs w:val="24"/>
        </w:rPr>
        <w:t>The corporation may pay more for its inputs, for example labor, than the competitive wage</w:t>
      </w:r>
      <w:r w:rsidR="00796064">
        <w:rPr>
          <w:rFonts w:ascii="Times New Roman" w:hAnsi="Times New Roman" w:cs="Times New Roman"/>
          <w:sz w:val="24"/>
          <w:szCs w:val="24"/>
        </w:rPr>
        <w:t xml:space="preserve">. </w:t>
      </w:r>
      <w:r w:rsidR="00641D14">
        <w:rPr>
          <w:rFonts w:ascii="Times New Roman" w:hAnsi="Times New Roman" w:cs="Times New Roman"/>
          <w:sz w:val="24"/>
          <w:szCs w:val="24"/>
        </w:rPr>
        <w:t>Or i</w:t>
      </w:r>
      <w:r w:rsidRPr="005E3083">
        <w:rPr>
          <w:rFonts w:ascii="Times New Roman" w:hAnsi="Times New Roman" w:cs="Times New Roman"/>
          <w:sz w:val="24"/>
          <w:szCs w:val="24"/>
        </w:rPr>
        <w:t xml:space="preserve">t may sell its output, </w:t>
      </w:r>
      <w:r w:rsidRPr="005E3083">
        <w:rPr>
          <w:rFonts w:ascii="Times New Roman" w:hAnsi="Times New Roman" w:cs="Times New Roman"/>
          <w:sz w:val="24"/>
          <w:szCs w:val="24"/>
        </w:rPr>
        <w:lastRenderedPageBreak/>
        <w:t xml:space="preserve">perhaps a vital drug, for less than its marginal cost. </w:t>
      </w:r>
      <w:r w:rsidR="00772745">
        <w:rPr>
          <w:rFonts w:ascii="Times New Roman" w:hAnsi="Times New Roman" w:cs="Times New Roman"/>
          <w:sz w:val="24"/>
          <w:szCs w:val="24"/>
        </w:rPr>
        <w:t xml:space="preserve">Wholly aside from whether </w:t>
      </w:r>
      <w:r w:rsidR="009F7C7F">
        <w:rPr>
          <w:rFonts w:ascii="Times New Roman" w:hAnsi="Times New Roman" w:cs="Times New Roman"/>
          <w:sz w:val="24"/>
          <w:szCs w:val="24"/>
        </w:rPr>
        <w:t xml:space="preserve">or not such </w:t>
      </w:r>
      <w:r w:rsidR="00772745">
        <w:rPr>
          <w:rFonts w:ascii="Times New Roman" w:hAnsi="Times New Roman" w:cs="Times New Roman"/>
          <w:sz w:val="24"/>
          <w:szCs w:val="24"/>
        </w:rPr>
        <w:t xml:space="preserve">a deviation </w:t>
      </w:r>
      <w:r w:rsidR="009F7C7F">
        <w:rPr>
          <w:rFonts w:ascii="Times New Roman" w:hAnsi="Times New Roman" w:cs="Times New Roman"/>
          <w:sz w:val="24"/>
          <w:szCs w:val="24"/>
        </w:rPr>
        <w:t xml:space="preserve">in corporate behavior </w:t>
      </w:r>
      <w:r w:rsidR="00772745">
        <w:rPr>
          <w:rFonts w:ascii="Times New Roman" w:hAnsi="Times New Roman" w:cs="Times New Roman"/>
          <w:sz w:val="24"/>
          <w:szCs w:val="24"/>
        </w:rPr>
        <w:t xml:space="preserve">corrects for a market imperfection and increases total social welfare, </w:t>
      </w:r>
      <w:r w:rsidR="00D42B0E">
        <w:rPr>
          <w:rFonts w:ascii="Times New Roman" w:hAnsi="Times New Roman" w:cs="Times New Roman"/>
          <w:sz w:val="24"/>
          <w:szCs w:val="24"/>
        </w:rPr>
        <w:t xml:space="preserve">any given investor may </w:t>
      </w:r>
      <w:r w:rsidR="008403B2">
        <w:rPr>
          <w:rFonts w:ascii="Times New Roman" w:hAnsi="Times New Roman" w:cs="Times New Roman"/>
          <w:sz w:val="24"/>
          <w:szCs w:val="24"/>
        </w:rPr>
        <w:t xml:space="preserve">prefer </w:t>
      </w:r>
      <w:r w:rsidR="00D42B0E">
        <w:rPr>
          <w:rFonts w:ascii="Times New Roman" w:hAnsi="Times New Roman" w:cs="Times New Roman"/>
          <w:sz w:val="24"/>
          <w:szCs w:val="24"/>
        </w:rPr>
        <w:t xml:space="preserve">that the corporation engage </w:t>
      </w:r>
      <w:r w:rsidR="00C439E0">
        <w:rPr>
          <w:rFonts w:ascii="Times New Roman" w:hAnsi="Times New Roman" w:cs="Times New Roman"/>
          <w:sz w:val="24"/>
          <w:szCs w:val="24"/>
        </w:rPr>
        <w:t xml:space="preserve">in </w:t>
      </w:r>
      <w:r w:rsidR="008403B2">
        <w:rPr>
          <w:rFonts w:ascii="Times New Roman" w:hAnsi="Times New Roman" w:cs="Times New Roman"/>
          <w:sz w:val="24"/>
          <w:szCs w:val="24"/>
        </w:rPr>
        <w:t xml:space="preserve">the deviation because </w:t>
      </w:r>
      <w:r w:rsidR="00C439E0">
        <w:rPr>
          <w:rFonts w:ascii="Times New Roman" w:hAnsi="Times New Roman" w:cs="Times New Roman"/>
          <w:sz w:val="24"/>
          <w:szCs w:val="24"/>
        </w:rPr>
        <w:t xml:space="preserve">she prefers </w:t>
      </w:r>
      <w:r w:rsidR="008679EA">
        <w:rPr>
          <w:rFonts w:ascii="Times New Roman" w:hAnsi="Times New Roman" w:cs="Times New Roman"/>
          <w:sz w:val="24"/>
          <w:szCs w:val="24"/>
        </w:rPr>
        <w:t>the deviation’s</w:t>
      </w:r>
      <w:r w:rsidR="00D42B0E">
        <w:rPr>
          <w:rFonts w:ascii="Times New Roman" w:hAnsi="Times New Roman" w:cs="Times New Roman"/>
          <w:sz w:val="24"/>
          <w:szCs w:val="24"/>
        </w:rPr>
        <w:t xml:space="preserve"> effect on the </w:t>
      </w:r>
      <w:r w:rsidR="008403B2">
        <w:rPr>
          <w:rFonts w:ascii="Times New Roman" w:hAnsi="Times New Roman" w:cs="Times New Roman"/>
          <w:sz w:val="24"/>
          <w:szCs w:val="24"/>
        </w:rPr>
        <w:t>wealth positions</w:t>
      </w:r>
      <w:r w:rsidR="00D42B0E">
        <w:rPr>
          <w:rFonts w:ascii="Times New Roman" w:hAnsi="Times New Roman" w:cs="Times New Roman"/>
          <w:sz w:val="24"/>
          <w:szCs w:val="24"/>
        </w:rPr>
        <w:t xml:space="preserve"> of people in society</w:t>
      </w:r>
      <w:r w:rsidR="00C439E0">
        <w:rPr>
          <w:rFonts w:ascii="Times New Roman" w:hAnsi="Times New Roman" w:cs="Times New Roman"/>
          <w:sz w:val="24"/>
          <w:szCs w:val="24"/>
        </w:rPr>
        <w:t xml:space="preserve"> relative to what those positions would be if the corporation maximized share value</w:t>
      </w:r>
      <w:r w:rsidR="00796064">
        <w:rPr>
          <w:rFonts w:ascii="Times New Roman" w:hAnsi="Times New Roman" w:cs="Times New Roman"/>
          <w:sz w:val="24"/>
          <w:szCs w:val="24"/>
        </w:rPr>
        <w:t xml:space="preserve">. </w:t>
      </w:r>
    </w:p>
    <w:p w14:paraId="58607BC1" w14:textId="3608C77C" w:rsidR="009F3E7E" w:rsidRPr="005E3083" w:rsidRDefault="00AB2378" w:rsidP="00F355E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C439E0">
        <w:rPr>
          <w:rFonts w:ascii="Times New Roman" w:hAnsi="Times New Roman" w:cs="Times New Roman"/>
          <w:sz w:val="24"/>
          <w:szCs w:val="24"/>
        </w:rPr>
        <w:t xml:space="preserve">There are </w:t>
      </w:r>
      <w:r w:rsidR="00FA2449">
        <w:rPr>
          <w:rFonts w:ascii="Times New Roman" w:hAnsi="Times New Roman" w:cs="Times New Roman"/>
          <w:sz w:val="24"/>
          <w:szCs w:val="24"/>
        </w:rPr>
        <w:t>many</w:t>
      </w:r>
      <w:r w:rsidR="00C439E0">
        <w:rPr>
          <w:rFonts w:ascii="Times New Roman" w:hAnsi="Times New Roman" w:cs="Times New Roman"/>
          <w:sz w:val="24"/>
          <w:szCs w:val="24"/>
        </w:rPr>
        <w:t xml:space="preserve"> reasons why the investor might have this preference</w:t>
      </w:r>
      <w:r w:rsidR="00796064">
        <w:rPr>
          <w:rFonts w:ascii="Times New Roman" w:hAnsi="Times New Roman" w:cs="Times New Roman"/>
          <w:sz w:val="24"/>
          <w:szCs w:val="24"/>
        </w:rPr>
        <w:t xml:space="preserve">. </w:t>
      </w:r>
      <w:r w:rsidR="00C439E0">
        <w:rPr>
          <w:rFonts w:ascii="Times New Roman" w:hAnsi="Times New Roman" w:cs="Times New Roman"/>
          <w:sz w:val="24"/>
          <w:szCs w:val="24"/>
        </w:rPr>
        <w:t>She</w:t>
      </w:r>
      <w:r w:rsidR="00BB4467">
        <w:rPr>
          <w:rFonts w:ascii="Times New Roman" w:hAnsi="Times New Roman" w:cs="Times New Roman"/>
          <w:sz w:val="24"/>
          <w:szCs w:val="24"/>
        </w:rPr>
        <w:t xml:space="preserve"> might </w:t>
      </w:r>
      <w:r w:rsidR="009F3E7E" w:rsidRPr="005E3083">
        <w:rPr>
          <w:rFonts w:ascii="Times New Roman" w:hAnsi="Times New Roman" w:cs="Times New Roman"/>
          <w:sz w:val="24"/>
          <w:szCs w:val="24"/>
        </w:rPr>
        <w:t xml:space="preserve">simply </w:t>
      </w:r>
      <w:r w:rsidR="00BB4467">
        <w:rPr>
          <w:rFonts w:ascii="Times New Roman" w:hAnsi="Times New Roman" w:cs="Times New Roman"/>
          <w:sz w:val="24"/>
          <w:szCs w:val="24"/>
        </w:rPr>
        <w:t>feel a greater affinity toward whoever would be the deviation</w:t>
      </w:r>
      <w:r w:rsidR="009F7C7F">
        <w:rPr>
          <w:rFonts w:ascii="Times New Roman" w:hAnsi="Times New Roman" w:cs="Times New Roman"/>
          <w:sz w:val="24"/>
          <w:szCs w:val="24"/>
        </w:rPr>
        <w:t>’</w:t>
      </w:r>
      <w:r w:rsidR="00BB4467">
        <w:rPr>
          <w:rFonts w:ascii="Times New Roman" w:hAnsi="Times New Roman" w:cs="Times New Roman"/>
          <w:sz w:val="24"/>
          <w:szCs w:val="24"/>
        </w:rPr>
        <w:t xml:space="preserve">s particular gainers </w:t>
      </w:r>
      <w:r w:rsidR="009F7C7F">
        <w:rPr>
          <w:rFonts w:ascii="Times New Roman" w:hAnsi="Times New Roman" w:cs="Times New Roman"/>
          <w:sz w:val="24"/>
          <w:szCs w:val="24"/>
        </w:rPr>
        <w:t xml:space="preserve">relative to her feelings toward </w:t>
      </w:r>
      <w:r w:rsidR="00BB4467">
        <w:rPr>
          <w:rFonts w:ascii="Times New Roman" w:hAnsi="Times New Roman" w:cs="Times New Roman"/>
          <w:sz w:val="24"/>
          <w:szCs w:val="24"/>
        </w:rPr>
        <w:t xml:space="preserve">its </w:t>
      </w:r>
      <w:r w:rsidR="009F3E7E" w:rsidRPr="005E3083">
        <w:rPr>
          <w:rFonts w:ascii="Times New Roman" w:hAnsi="Times New Roman" w:cs="Times New Roman"/>
          <w:sz w:val="24"/>
          <w:szCs w:val="24"/>
        </w:rPr>
        <w:t>particular losers</w:t>
      </w:r>
      <w:r w:rsidR="00796064">
        <w:rPr>
          <w:rFonts w:ascii="Times New Roman" w:hAnsi="Times New Roman" w:cs="Times New Roman"/>
          <w:sz w:val="24"/>
          <w:szCs w:val="24"/>
        </w:rPr>
        <w:t xml:space="preserve">. </w:t>
      </w:r>
      <w:r w:rsidR="00BB4467">
        <w:rPr>
          <w:rFonts w:ascii="Times New Roman" w:hAnsi="Times New Roman" w:cs="Times New Roman"/>
          <w:sz w:val="24"/>
          <w:szCs w:val="24"/>
        </w:rPr>
        <w:t xml:space="preserve">Alternatively, </w:t>
      </w:r>
      <w:r w:rsidR="00C439E0">
        <w:rPr>
          <w:rFonts w:ascii="Times New Roman" w:hAnsi="Times New Roman" w:cs="Times New Roman"/>
          <w:sz w:val="24"/>
          <w:szCs w:val="24"/>
        </w:rPr>
        <w:t xml:space="preserve">in terms of the economy’s overall distribution of wealth, </w:t>
      </w:r>
      <w:r w:rsidR="00152170">
        <w:rPr>
          <w:rFonts w:ascii="Times New Roman" w:hAnsi="Times New Roman" w:cs="Times New Roman"/>
          <w:sz w:val="24"/>
          <w:szCs w:val="24"/>
        </w:rPr>
        <w:t>the pattern of a</w:t>
      </w:r>
      <w:r w:rsidR="009F3E7E" w:rsidRPr="005E3083">
        <w:rPr>
          <w:rFonts w:ascii="Times New Roman" w:hAnsi="Times New Roman" w:cs="Times New Roman"/>
          <w:sz w:val="24"/>
          <w:szCs w:val="24"/>
        </w:rPr>
        <w:t xml:space="preserve"> </w:t>
      </w:r>
      <w:r w:rsidR="00AB192C">
        <w:rPr>
          <w:rFonts w:ascii="Times New Roman" w:hAnsi="Times New Roman" w:cs="Times New Roman"/>
          <w:sz w:val="24"/>
          <w:szCs w:val="24"/>
        </w:rPr>
        <w:t xml:space="preserve">particular </w:t>
      </w:r>
      <w:r w:rsidR="00652AC6">
        <w:rPr>
          <w:rFonts w:ascii="Times New Roman" w:hAnsi="Times New Roman" w:cs="Times New Roman"/>
          <w:sz w:val="24"/>
          <w:szCs w:val="24"/>
        </w:rPr>
        <w:t xml:space="preserve">deviation’s </w:t>
      </w:r>
      <w:r w:rsidR="009F3E7E" w:rsidRPr="005E3083">
        <w:rPr>
          <w:rFonts w:ascii="Times New Roman" w:hAnsi="Times New Roman" w:cs="Times New Roman"/>
          <w:sz w:val="24"/>
          <w:szCs w:val="24"/>
        </w:rPr>
        <w:t xml:space="preserve">winners versus losers </w:t>
      </w:r>
      <w:r w:rsidR="00AB192C">
        <w:rPr>
          <w:rFonts w:ascii="Times New Roman" w:hAnsi="Times New Roman" w:cs="Times New Roman"/>
          <w:sz w:val="24"/>
          <w:szCs w:val="24"/>
        </w:rPr>
        <w:t xml:space="preserve">may </w:t>
      </w:r>
      <w:r w:rsidR="00C439E0">
        <w:rPr>
          <w:rFonts w:ascii="Times New Roman" w:hAnsi="Times New Roman" w:cs="Times New Roman"/>
          <w:sz w:val="24"/>
          <w:szCs w:val="24"/>
        </w:rPr>
        <w:t>move</w:t>
      </w:r>
      <w:r w:rsidR="00AB192C">
        <w:rPr>
          <w:rFonts w:ascii="Times New Roman" w:hAnsi="Times New Roman" w:cs="Times New Roman"/>
          <w:sz w:val="24"/>
          <w:szCs w:val="24"/>
        </w:rPr>
        <w:t xml:space="preserve"> that</w:t>
      </w:r>
      <w:r w:rsidR="00C439E0">
        <w:rPr>
          <w:rFonts w:ascii="Times New Roman" w:hAnsi="Times New Roman" w:cs="Times New Roman"/>
          <w:sz w:val="24"/>
          <w:szCs w:val="24"/>
        </w:rPr>
        <w:t xml:space="preserve"> distribution in the direction of greater</w:t>
      </w:r>
      <w:r w:rsidR="00AB192C">
        <w:rPr>
          <w:rFonts w:ascii="Times New Roman" w:hAnsi="Times New Roman" w:cs="Times New Roman"/>
          <w:sz w:val="24"/>
          <w:szCs w:val="24"/>
        </w:rPr>
        <w:t xml:space="preserve"> equality</w:t>
      </w:r>
      <w:r w:rsidR="00C439E0">
        <w:rPr>
          <w:rFonts w:ascii="Times New Roman" w:hAnsi="Times New Roman" w:cs="Times New Roman"/>
          <w:sz w:val="24"/>
          <w:szCs w:val="24"/>
        </w:rPr>
        <w:t xml:space="preserve">, </w:t>
      </w:r>
      <w:r w:rsidR="00AB192C">
        <w:rPr>
          <w:rFonts w:ascii="Times New Roman" w:hAnsi="Times New Roman" w:cs="Times New Roman"/>
          <w:sz w:val="24"/>
          <w:szCs w:val="24"/>
        </w:rPr>
        <w:t xml:space="preserve">an effect </w:t>
      </w:r>
      <w:r w:rsidR="00C439E0">
        <w:rPr>
          <w:rFonts w:ascii="Times New Roman" w:hAnsi="Times New Roman" w:cs="Times New Roman"/>
          <w:sz w:val="24"/>
          <w:szCs w:val="24"/>
        </w:rPr>
        <w:t>that the equity investor favors</w:t>
      </w:r>
      <w:r w:rsidR="00796064">
        <w:rPr>
          <w:rFonts w:ascii="Times New Roman" w:hAnsi="Times New Roman" w:cs="Times New Roman"/>
          <w:sz w:val="24"/>
          <w:szCs w:val="24"/>
        </w:rPr>
        <w:t xml:space="preserve">. </w:t>
      </w:r>
      <w:r w:rsidR="00652AC6">
        <w:rPr>
          <w:rFonts w:ascii="Times New Roman" w:hAnsi="Times New Roman" w:cs="Times New Roman"/>
          <w:sz w:val="24"/>
          <w:szCs w:val="24"/>
        </w:rPr>
        <w:t xml:space="preserve">The investor might also </w:t>
      </w:r>
      <w:r w:rsidR="009F7C7F">
        <w:rPr>
          <w:rFonts w:ascii="Times New Roman" w:hAnsi="Times New Roman" w:cs="Times New Roman"/>
          <w:sz w:val="24"/>
          <w:szCs w:val="24"/>
        </w:rPr>
        <w:t xml:space="preserve">feel that the </w:t>
      </w:r>
      <w:r w:rsidR="00C439E0">
        <w:rPr>
          <w:rFonts w:ascii="Times New Roman" w:hAnsi="Times New Roman" w:cs="Times New Roman"/>
          <w:sz w:val="24"/>
          <w:szCs w:val="24"/>
        </w:rPr>
        <w:t xml:space="preserve">deviation is preferable because the </w:t>
      </w:r>
      <w:r w:rsidR="00652AC6">
        <w:rPr>
          <w:rFonts w:ascii="Times New Roman" w:hAnsi="Times New Roman" w:cs="Times New Roman"/>
          <w:sz w:val="24"/>
          <w:szCs w:val="24"/>
        </w:rPr>
        <w:t xml:space="preserve">winners’ gains </w:t>
      </w:r>
      <w:r w:rsidR="00C439E0">
        <w:rPr>
          <w:rFonts w:ascii="Times New Roman" w:hAnsi="Times New Roman" w:cs="Times New Roman"/>
          <w:sz w:val="24"/>
          <w:szCs w:val="24"/>
        </w:rPr>
        <w:t>correct for some historical injustice</w:t>
      </w:r>
      <w:r w:rsidR="00796064">
        <w:rPr>
          <w:rFonts w:ascii="Times New Roman" w:hAnsi="Times New Roman" w:cs="Times New Roman"/>
          <w:sz w:val="24"/>
          <w:szCs w:val="24"/>
        </w:rPr>
        <w:t xml:space="preserve">. </w:t>
      </w:r>
      <w:r w:rsidR="00C439E0">
        <w:rPr>
          <w:rFonts w:ascii="Times New Roman" w:hAnsi="Times New Roman" w:cs="Times New Roman"/>
          <w:sz w:val="24"/>
          <w:szCs w:val="24"/>
        </w:rPr>
        <w:t xml:space="preserve">On the other hand, it is also easy </w:t>
      </w:r>
      <w:r w:rsidR="00BD05A4">
        <w:rPr>
          <w:rFonts w:ascii="Times New Roman" w:hAnsi="Times New Roman" w:cs="Times New Roman"/>
          <w:sz w:val="24"/>
          <w:szCs w:val="24"/>
        </w:rPr>
        <w:t xml:space="preserve">to imagine </w:t>
      </w:r>
      <w:r w:rsidR="00C439E0">
        <w:rPr>
          <w:rFonts w:ascii="Times New Roman" w:hAnsi="Times New Roman" w:cs="Times New Roman"/>
          <w:sz w:val="24"/>
          <w:szCs w:val="24"/>
        </w:rPr>
        <w:t xml:space="preserve">an equity investor being opposed to any deviation </w:t>
      </w:r>
      <w:r w:rsidR="0085632C">
        <w:rPr>
          <w:rFonts w:ascii="Times New Roman" w:hAnsi="Times New Roman" w:cs="Times New Roman"/>
          <w:sz w:val="24"/>
          <w:szCs w:val="24"/>
        </w:rPr>
        <w:t xml:space="preserve">from share value maximization for </w:t>
      </w:r>
      <w:r w:rsidR="00BD05A4">
        <w:rPr>
          <w:rFonts w:ascii="Times New Roman" w:hAnsi="Times New Roman" w:cs="Times New Roman"/>
          <w:sz w:val="24"/>
          <w:szCs w:val="24"/>
        </w:rPr>
        <w:t>distributional concerns</w:t>
      </w:r>
      <w:r w:rsidR="00796064">
        <w:rPr>
          <w:rFonts w:ascii="Times New Roman" w:hAnsi="Times New Roman" w:cs="Times New Roman"/>
          <w:sz w:val="24"/>
          <w:szCs w:val="24"/>
        </w:rPr>
        <w:t xml:space="preserve">. </w:t>
      </w:r>
      <w:r w:rsidR="00AB192C">
        <w:rPr>
          <w:rFonts w:ascii="Times New Roman" w:hAnsi="Times New Roman" w:cs="Times New Roman"/>
          <w:sz w:val="24"/>
          <w:szCs w:val="24"/>
        </w:rPr>
        <w:t>This might be because he does not feel that society’s wealth needs to be distributed more evenly</w:t>
      </w:r>
      <w:r w:rsidR="00796064">
        <w:rPr>
          <w:rFonts w:ascii="Times New Roman" w:hAnsi="Times New Roman" w:cs="Times New Roman"/>
          <w:sz w:val="24"/>
          <w:szCs w:val="24"/>
        </w:rPr>
        <w:t xml:space="preserve">. </w:t>
      </w:r>
      <w:r w:rsidR="00AB192C">
        <w:rPr>
          <w:rFonts w:ascii="Times New Roman" w:hAnsi="Times New Roman" w:cs="Times New Roman"/>
          <w:sz w:val="24"/>
          <w:szCs w:val="24"/>
        </w:rPr>
        <w:t>Alternatively,</w:t>
      </w:r>
      <w:r w:rsidR="002A044A">
        <w:rPr>
          <w:rFonts w:ascii="Times New Roman" w:hAnsi="Times New Roman" w:cs="Times New Roman"/>
          <w:sz w:val="24"/>
          <w:szCs w:val="24"/>
        </w:rPr>
        <w:t xml:space="preserve"> he</w:t>
      </w:r>
      <w:r w:rsidR="006179B0">
        <w:rPr>
          <w:rFonts w:ascii="Times New Roman" w:hAnsi="Times New Roman" w:cs="Times New Roman"/>
          <w:sz w:val="24"/>
          <w:szCs w:val="24"/>
        </w:rPr>
        <w:t xml:space="preserve"> may</w:t>
      </w:r>
      <w:r w:rsidR="002A044A">
        <w:rPr>
          <w:rFonts w:ascii="Times New Roman" w:hAnsi="Times New Roman" w:cs="Times New Roman"/>
          <w:sz w:val="24"/>
          <w:szCs w:val="24"/>
        </w:rPr>
        <w:t xml:space="preserve"> </w:t>
      </w:r>
      <w:r w:rsidR="00AB192C">
        <w:rPr>
          <w:rFonts w:ascii="Times New Roman" w:hAnsi="Times New Roman" w:cs="Times New Roman"/>
          <w:sz w:val="24"/>
          <w:szCs w:val="24"/>
        </w:rPr>
        <w:t>feel that it does</w:t>
      </w:r>
      <w:r w:rsidR="002A044A">
        <w:rPr>
          <w:rFonts w:ascii="Times New Roman" w:hAnsi="Times New Roman" w:cs="Times New Roman"/>
          <w:sz w:val="24"/>
          <w:szCs w:val="24"/>
        </w:rPr>
        <w:t>,</w:t>
      </w:r>
      <w:r w:rsidR="00AB192C">
        <w:rPr>
          <w:rFonts w:ascii="Times New Roman" w:hAnsi="Times New Roman" w:cs="Times New Roman"/>
          <w:sz w:val="24"/>
          <w:szCs w:val="24"/>
        </w:rPr>
        <w:t xml:space="preserve"> but </w:t>
      </w:r>
      <w:r w:rsidR="00055D3E">
        <w:rPr>
          <w:rFonts w:ascii="Times New Roman" w:hAnsi="Times New Roman" w:cs="Times New Roman"/>
          <w:sz w:val="24"/>
          <w:szCs w:val="24"/>
        </w:rPr>
        <w:t xml:space="preserve">explicitly or </w:t>
      </w:r>
      <w:r w:rsidR="009F3E7E" w:rsidRPr="005E3083">
        <w:rPr>
          <w:rFonts w:ascii="Times New Roman" w:hAnsi="Times New Roman" w:cs="Times New Roman"/>
          <w:sz w:val="24"/>
          <w:szCs w:val="24"/>
        </w:rPr>
        <w:t xml:space="preserve">implicitly </w:t>
      </w:r>
      <w:r w:rsidR="00AB192C">
        <w:rPr>
          <w:rFonts w:ascii="Times New Roman" w:hAnsi="Times New Roman" w:cs="Times New Roman"/>
          <w:sz w:val="24"/>
          <w:szCs w:val="24"/>
        </w:rPr>
        <w:t>feel</w:t>
      </w:r>
      <w:r w:rsidR="009F3E7E" w:rsidRPr="005E3083">
        <w:rPr>
          <w:rFonts w:ascii="Times New Roman" w:hAnsi="Times New Roman" w:cs="Times New Roman"/>
          <w:sz w:val="24"/>
          <w:szCs w:val="24"/>
        </w:rPr>
        <w:t xml:space="preserve"> that distribution should be province of government tax and benefits policies, </w:t>
      </w:r>
      <w:r w:rsidR="0085632C">
        <w:rPr>
          <w:rFonts w:ascii="Times New Roman" w:hAnsi="Times New Roman" w:cs="Times New Roman"/>
          <w:sz w:val="24"/>
          <w:szCs w:val="24"/>
        </w:rPr>
        <w:t xml:space="preserve">where </w:t>
      </w:r>
      <w:r w:rsidR="009F3E7E" w:rsidRPr="005E3083">
        <w:rPr>
          <w:rFonts w:ascii="Times New Roman" w:hAnsi="Times New Roman" w:cs="Times New Roman"/>
          <w:sz w:val="24"/>
          <w:szCs w:val="24"/>
        </w:rPr>
        <w:t xml:space="preserve">the pie that is split being </w:t>
      </w:r>
      <w:r w:rsidR="00AB192C">
        <w:rPr>
          <w:rFonts w:ascii="Times New Roman" w:hAnsi="Times New Roman" w:cs="Times New Roman"/>
          <w:sz w:val="24"/>
          <w:szCs w:val="24"/>
        </w:rPr>
        <w:t xml:space="preserve">through these policies is </w:t>
      </w:r>
      <w:r w:rsidR="009F3E7E" w:rsidRPr="005E3083">
        <w:rPr>
          <w:rFonts w:ascii="Times New Roman" w:hAnsi="Times New Roman" w:cs="Times New Roman"/>
          <w:sz w:val="24"/>
          <w:szCs w:val="24"/>
        </w:rPr>
        <w:t>maximized by actions that promote Kaldor-Hicks efficiency</w:t>
      </w:r>
      <w:r w:rsidR="00796064">
        <w:rPr>
          <w:rFonts w:ascii="Times New Roman" w:hAnsi="Times New Roman" w:cs="Times New Roman"/>
          <w:sz w:val="24"/>
          <w:szCs w:val="24"/>
        </w:rPr>
        <w:t>.</w:t>
      </w:r>
      <w:r w:rsidR="000417C6">
        <w:rPr>
          <w:rStyle w:val="FootnoteReference"/>
          <w:rFonts w:ascii="Times New Roman" w:hAnsi="Times New Roman" w:cs="Times New Roman"/>
          <w:sz w:val="24"/>
          <w:szCs w:val="24"/>
        </w:rPr>
        <w:footnoteReference w:id="27"/>
      </w:r>
      <w:r w:rsidR="00796064">
        <w:rPr>
          <w:rFonts w:ascii="Times New Roman" w:hAnsi="Times New Roman" w:cs="Times New Roman"/>
          <w:sz w:val="24"/>
          <w:szCs w:val="24"/>
        </w:rPr>
        <w:t xml:space="preserve"> </w:t>
      </w:r>
      <w:r w:rsidR="002A044A">
        <w:rPr>
          <w:rFonts w:ascii="Times New Roman" w:hAnsi="Times New Roman" w:cs="Times New Roman"/>
          <w:sz w:val="24"/>
          <w:szCs w:val="24"/>
        </w:rPr>
        <w:t xml:space="preserve">Reliance on the government to do the redistribution may have the attraction to him that </w:t>
      </w:r>
      <w:r w:rsidR="00AB192C">
        <w:rPr>
          <w:rFonts w:ascii="Times New Roman" w:hAnsi="Times New Roman" w:cs="Times New Roman"/>
          <w:sz w:val="24"/>
          <w:szCs w:val="24"/>
        </w:rPr>
        <w:t xml:space="preserve">he and his fellow investors </w:t>
      </w:r>
      <w:r w:rsidR="002A044A">
        <w:rPr>
          <w:rFonts w:ascii="Times New Roman" w:hAnsi="Times New Roman" w:cs="Times New Roman"/>
          <w:sz w:val="24"/>
          <w:szCs w:val="24"/>
        </w:rPr>
        <w:t xml:space="preserve">in the corporation </w:t>
      </w:r>
      <w:r w:rsidR="0085632C">
        <w:rPr>
          <w:rFonts w:ascii="Times New Roman" w:hAnsi="Times New Roman" w:cs="Times New Roman"/>
          <w:sz w:val="24"/>
          <w:szCs w:val="24"/>
        </w:rPr>
        <w:t xml:space="preserve">do not sacrifice to promote a more equal distribution unless everyone else similarly situated </w:t>
      </w:r>
      <w:r w:rsidR="002A044A">
        <w:rPr>
          <w:rFonts w:ascii="Times New Roman" w:hAnsi="Times New Roman" w:cs="Times New Roman"/>
          <w:sz w:val="24"/>
          <w:szCs w:val="24"/>
        </w:rPr>
        <w:t xml:space="preserve">to them </w:t>
      </w:r>
      <w:r w:rsidR="0085632C">
        <w:rPr>
          <w:rFonts w:ascii="Times New Roman" w:hAnsi="Times New Roman" w:cs="Times New Roman"/>
          <w:sz w:val="24"/>
          <w:szCs w:val="24"/>
        </w:rPr>
        <w:t>wealth-wise sacrifices as well</w:t>
      </w:r>
      <w:r w:rsidR="009F3E7E" w:rsidRPr="005E3083">
        <w:rPr>
          <w:rFonts w:ascii="Times New Roman" w:hAnsi="Times New Roman" w:cs="Times New Roman"/>
          <w:sz w:val="24"/>
          <w:szCs w:val="24"/>
        </w:rPr>
        <w:t xml:space="preserve">. </w:t>
      </w:r>
    </w:p>
    <w:p w14:paraId="123C6E85" w14:textId="77777777" w:rsidR="009F3E7E" w:rsidRPr="005E3083" w:rsidRDefault="009F3E7E" w:rsidP="00F355E2">
      <w:pPr>
        <w:spacing w:after="0" w:line="480" w:lineRule="auto"/>
        <w:jc w:val="center"/>
        <w:rPr>
          <w:rFonts w:ascii="Times New Roman" w:hAnsi="Times New Roman" w:cs="Times New Roman"/>
          <w:i/>
          <w:sz w:val="24"/>
          <w:szCs w:val="24"/>
        </w:rPr>
      </w:pPr>
      <w:r w:rsidRPr="005E3083">
        <w:rPr>
          <w:rFonts w:ascii="Times New Roman" w:hAnsi="Times New Roman" w:cs="Times New Roman"/>
          <w:i/>
          <w:sz w:val="24"/>
          <w:szCs w:val="24"/>
        </w:rPr>
        <w:lastRenderedPageBreak/>
        <w:t>C. Impact on the Individual Shareholder Beyond Receipt of Residuals</w:t>
      </w:r>
    </w:p>
    <w:p w14:paraId="4FDBC9AD" w14:textId="765D503D" w:rsidR="009F3E7E" w:rsidRPr="005E3083" w:rsidRDefault="009F3E7E" w:rsidP="00F355E2">
      <w:pPr>
        <w:spacing w:after="0" w:line="480" w:lineRule="auto"/>
        <w:jc w:val="both"/>
        <w:rPr>
          <w:rFonts w:ascii="Times New Roman" w:hAnsi="Times New Roman" w:cs="Times New Roman"/>
          <w:sz w:val="24"/>
          <w:szCs w:val="24"/>
        </w:rPr>
      </w:pPr>
      <w:r w:rsidRPr="005E3083">
        <w:rPr>
          <w:rFonts w:ascii="Times New Roman" w:hAnsi="Times New Roman" w:cs="Times New Roman"/>
          <w:sz w:val="24"/>
          <w:szCs w:val="24"/>
        </w:rPr>
        <w:tab/>
        <w:t>How a corporation behaves affects each of its equity holders by the impact of that behavior on its residuals over time and hence on the value of the shares in which each equity holder has an interest</w:t>
      </w:r>
      <w:r w:rsidR="00796064">
        <w:rPr>
          <w:rFonts w:ascii="Times New Roman" w:hAnsi="Times New Roman" w:cs="Times New Roman"/>
          <w:sz w:val="24"/>
          <w:szCs w:val="24"/>
        </w:rPr>
        <w:t xml:space="preserve">. </w:t>
      </w:r>
      <w:r w:rsidRPr="005E3083">
        <w:rPr>
          <w:rFonts w:ascii="Times New Roman" w:hAnsi="Times New Roman" w:cs="Times New Roman"/>
          <w:sz w:val="24"/>
          <w:szCs w:val="24"/>
        </w:rPr>
        <w:t xml:space="preserve">But the corporation’s behavior may affect these equity holders in other ways as well, with some so affected and others not. Examples include situations in which an equity holder, or an entity in which she has an interest, transacts with the corporation as a supplier of inputs (for example, as an employee), as a customer </w:t>
      </w:r>
      <w:r w:rsidR="004B6A3A">
        <w:rPr>
          <w:rFonts w:ascii="Times New Roman" w:hAnsi="Times New Roman" w:cs="Times New Roman"/>
          <w:sz w:val="24"/>
          <w:szCs w:val="24"/>
        </w:rPr>
        <w:t xml:space="preserve">regularly </w:t>
      </w:r>
      <w:r w:rsidRPr="005E3083">
        <w:rPr>
          <w:rFonts w:ascii="Times New Roman" w:hAnsi="Times New Roman" w:cs="Times New Roman"/>
          <w:sz w:val="24"/>
          <w:szCs w:val="24"/>
        </w:rPr>
        <w:t>purchasing its output, or in some one-off deal. In any of these cases, the equity holder would be better off if the terms of the transaction were more favorable to her than what would be share value maximizing terms. Similarly, some equity holders (common owners) of a corporation may have equity interests in one or more other corporations in the same oligopolistic industry corporation while the rest (non-common owners) do not. The common equity holder will benefit if the corporation chooses an output level lower than the share-value-maximizing one and the non-common will be harmed by this.</w:t>
      </w:r>
      <w:r w:rsidR="003B5092">
        <w:rPr>
          <w:rStyle w:val="FootnoteReference"/>
          <w:rFonts w:ascii="Times New Roman" w:hAnsi="Times New Roman" w:cs="Times New Roman"/>
          <w:sz w:val="24"/>
          <w:szCs w:val="24"/>
        </w:rPr>
        <w:footnoteReference w:id="28"/>
      </w:r>
      <w:r w:rsidRPr="005E3083">
        <w:rPr>
          <w:rFonts w:ascii="Times New Roman" w:hAnsi="Times New Roman" w:cs="Times New Roman"/>
          <w:sz w:val="24"/>
          <w:szCs w:val="24"/>
        </w:rPr>
        <w:t xml:space="preserve"> A deviation from share value maximization may also benefit some equity holders and not others in terms of their tax status. </w:t>
      </w:r>
    </w:p>
    <w:p w14:paraId="2DD7474B" w14:textId="05F49B3B" w:rsidR="009F3E7E" w:rsidRDefault="009F3E7E" w:rsidP="006A40F1">
      <w:pPr>
        <w:pStyle w:val="ListParagraph"/>
        <w:numPr>
          <w:ilvl w:val="0"/>
          <w:numId w:val="3"/>
        </w:numPr>
        <w:spacing w:after="0" w:line="240" w:lineRule="auto"/>
        <w:jc w:val="center"/>
        <w:rPr>
          <w:rFonts w:cs="Times New Roman"/>
          <w:b/>
          <w:sz w:val="24"/>
          <w:szCs w:val="24"/>
        </w:rPr>
      </w:pPr>
      <w:r w:rsidRPr="005E3083">
        <w:rPr>
          <w:rFonts w:cs="Times New Roman"/>
          <w:b/>
          <w:sz w:val="24"/>
          <w:szCs w:val="24"/>
        </w:rPr>
        <w:t>The Influence of Shareholder Preferences Taking as Given the Existing Shareholder Makeup of Each Firm</w:t>
      </w:r>
    </w:p>
    <w:p w14:paraId="13F3D9C3" w14:textId="77777777" w:rsidR="003B5092" w:rsidRPr="005E3083" w:rsidRDefault="003B5092" w:rsidP="006A40F1">
      <w:pPr>
        <w:pStyle w:val="ListParagraph"/>
        <w:spacing w:after="0" w:line="240" w:lineRule="auto"/>
        <w:ind w:left="1080"/>
        <w:jc w:val="center"/>
        <w:rPr>
          <w:rFonts w:cs="Times New Roman"/>
          <w:b/>
          <w:sz w:val="24"/>
          <w:szCs w:val="24"/>
        </w:rPr>
      </w:pPr>
    </w:p>
    <w:p w14:paraId="07185D36" w14:textId="7DCECCE3" w:rsidR="00B5370C" w:rsidRDefault="004D3030" w:rsidP="008106B1">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With this</w:t>
      </w:r>
      <w:r w:rsidR="005E35A9">
        <w:rPr>
          <w:rFonts w:ascii="Times New Roman" w:hAnsi="Times New Roman" w:cs="Times New Roman"/>
          <w:sz w:val="24"/>
          <w:szCs w:val="24"/>
        </w:rPr>
        <w:t xml:space="preserve"> taxonomy </w:t>
      </w:r>
      <w:r>
        <w:rPr>
          <w:rFonts w:ascii="Times New Roman" w:hAnsi="Times New Roman" w:cs="Times New Roman"/>
          <w:sz w:val="24"/>
          <w:szCs w:val="24"/>
        </w:rPr>
        <w:t xml:space="preserve">in place, we can now turn to </w:t>
      </w:r>
      <w:r w:rsidR="005E35A9">
        <w:rPr>
          <w:rFonts w:ascii="Times New Roman" w:hAnsi="Times New Roman" w:cs="Times New Roman"/>
          <w:sz w:val="24"/>
          <w:szCs w:val="24"/>
        </w:rPr>
        <w:t>our primary</w:t>
      </w:r>
      <w:r w:rsidR="00174F69">
        <w:rPr>
          <w:rFonts w:ascii="Times New Roman" w:hAnsi="Times New Roman" w:cs="Times New Roman"/>
          <w:sz w:val="24"/>
          <w:szCs w:val="24"/>
        </w:rPr>
        <w:t xml:space="preserve"> </w:t>
      </w:r>
      <w:r w:rsidR="00BD208A">
        <w:rPr>
          <w:rFonts w:ascii="Times New Roman" w:hAnsi="Times New Roman" w:cs="Times New Roman"/>
          <w:sz w:val="24"/>
          <w:szCs w:val="24"/>
        </w:rPr>
        <w:t xml:space="preserve">positive </w:t>
      </w:r>
      <w:r w:rsidR="005E35A9">
        <w:rPr>
          <w:rFonts w:ascii="Times New Roman" w:hAnsi="Times New Roman" w:cs="Times New Roman"/>
          <w:sz w:val="24"/>
          <w:szCs w:val="24"/>
        </w:rPr>
        <w:t xml:space="preserve">question of interest: to what extent does the </w:t>
      </w:r>
      <w:r w:rsidR="00C474C3">
        <w:rPr>
          <w:rFonts w:ascii="Times New Roman" w:hAnsi="Times New Roman" w:cs="Times New Roman"/>
          <w:sz w:val="24"/>
          <w:szCs w:val="24"/>
        </w:rPr>
        <w:t xml:space="preserve">existence of investors </w:t>
      </w:r>
      <w:r w:rsidR="008106B1">
        <w:rPr>
          <w:rFonts w:ascii="Times New Roman" w:hAnsi="Times New Roman" w:cs="Times New Roman"/>
          <w:sz w:val="24"/>
          <w:szCs w:val="24"/>
        </w:rPr>
        <w:t xml:space="preserve">who are </w:t>
      </w:r>
      <w:r w:rsidR="00C474C3">
        <w:rPr>
          <w:rFonts w:ascii="Times New Roman" w:hAnsi="Times New Roman" w:cs="Times New Roman"/>
          <w:sz w:val="24"/>
          <w:szCs w:val="24"/>
        </w:rPr>
        <w:t xml:space="preserve">willing to sacrifice share value </w:t>
      </w:r>
      <w:r w:rsidR="008106B1">
        <w:rPr>
          <w:rFonts w:ascii="Times New Roman" w:hAnsi="Times New Roman" w:cs="Times New Roman"/>
          <w:sz w:val="24"/>
          <w:szCs w:val="24"/>
        </w:rPr>
        <w:t xml:space="preserve">to advance some other objective </w:t>
      </w:r>
      <w:r w:rsidR="00C474C3">
        <w:rPr>
          <w:rFonts w:ascii="Times New Roman" w:hAnsi="Times New Roman" w:cs="Times New Roman"/>
          <w:sz w:val="24"/>
          <w:szCs w:val="24"/>
        </w:rPr>
        <w:t xml:space="preserve">influence firm behavior </w:t>
      </w:r>
      <w:r>
        <w:rPr>
          <w:rFonts w:ascii="Times New Roman" w:hAnsi="Times New Roman" w:cs="Times New Roman"/>
          <w:sz w:val="24"/>
          <w:szCs w:val="24"/>
        </w:rPr>
        <w:t>relative</w:t>
      </w:r>
      <w:r w:rsidR="00C474C3">
        <w:rPr>
          <w:rFonts w:ascii="Times New Roman" w:hAnsi="Times New Roman" w:cs="Times New Roman"/>
          <w:sz w:val="24"/>
          <w:szCs w:val="24"/>
        </w:rPr>
        <w:t xml:space="preserve"> to a world in which all investors </w:t>
      </w:r>
      <w:r w:rsidR="008106B1">
        <w:rPr>
          <w:rFonts w:ascii="Times New Roman" w:hAnsi="Times New Roman" w:cs="Times New Roman"/>
          <w:sz w:val="24"/>
          <w:szCs w:val="24"/>
        </w:rPr>
        <w:t>desire</w:t>
      </w:r>
      <w:r w:rsidR="00C474C3">
        <w:rPr>
          <w:rFonts w:ascii="Times New Roman" w:hAnsi="Times New Roman" w:cs="Times New Roman"/>
          <w:sz w:val="24"/>
          <w:szCs w:val="24"/>
        </w:rPr>
        <w:t xml:space="preserve"> share value maximization</w:t>
      </w:r>
      <w:r w:rsidR="005E35A9">
        <w:rPr>
          <w:rFonts w:ascii="Times New Roman" w:hAnsi="Times New Roman" w:cs="Times New Roman"/>
          <w:sz w:val="24"/>
          <w:szCs w:val="24"/>
        </w:rPr>
        <w:t>? Our analysis proceeds in two stages</w:t>
      </w:r>
      <w:r>
        <w:rPr>
          <w:rFonts w:ascii="Times New Roman" w:hAnsi="Times New Roman" w:cs="Times New Roman"/>
          <w:sz w:val="24"/>
          <w:szCs w:val="24"/>
        </w:rPr>
        <w:t xml:space="preserve">, where the first stage of the analysis, </w:t>
      </w:r>
      <w:r>
        <w:rPr>
          <w:rFonts w:ascii="Times New Roman" w:hAnsi="Times New Roman" w:cs="Times New Roman"/>
          <w:sz w:val="24"/>
          <w:szCs w:val="24"/>
        </w:rPr>
        <w:lastRenderedPageBreak/>
        <w:t>conducted in this Part</w:t>
      </w:r>
      <w:r w:rsidR="00BB1E77">
        <w:rPr>
          <w:rFonts w:ascii="Times New Roman" w:hAnsi="Times New Roman" w:cs="Times New Roman"/>
          <w:sz w:val="24"/>
          <w:szCs w:val="24"/>
        </w:rPr>
        <w:t xml:space="preserve">, takes the </w:t>
      </w:r>
      <w:r w:rsidR="00BB1E77" w:rsidRPr="005E3083">
        <w:rPr>
          <w:rFonts w:ascii="Times New Roman" w:hAnsi="Times New Roman" w:cs="Times New Roman"/>
          <w:sz w:val="24"/>
          <w:szCs w:val="24"/>
        </w:rPr>
        <w:t xml:space="preserve">initial existing shareholder makeup of each of the </w:t>
      </w:r>
      <w:r w:rsidR="00BB1E77">
        <w:rPr>
          <w:rFonts w:ascii="Times New Roman" w:hAnsi="Times New Roman" w:cs="Times New Roman"/>
          <w:sz w:val="24"/>
          <w:szCs w:val="24"/>
        </w:rPr>
        <w:t>economy</w:t>
      </w:r>
      <w:r w:rsidR="00BB1E77" w:rsidRPr="005E3083">
        <w:rPr>
          <w:rFonts w:ascii="Times New Roman" w:hAnsi="Times New Roman" w:cs="Times New Roman"/>
          <w:sz w:val="24"/>
          <w:szCs w:val="24"/>
        </w:rPr>
        <w:t xml:space="preserve">’s public firms as </w:t>
      </w:r>
      <w:r w:rsidR="00BB1E77">
        <w:rPr>
          <w:rFonts w:ascii="Times New Roman" w:hAnsi="Times New Roman" w:cs="Times New Roman"/>
          <w:sz w:val="24"/>
          <w:szCs w:val="24"/>
        </w:rPr>
        <w:t>fixed.</w:t>
      </w:r>
      <w:r w:rsidR="00B5370C">
        <w:rPr>
          <w:rFonts w:ascii="Times New Roman" w:hAnsi="Times New Roman" w:cs="Times New Roman"/>
          <w:sz w:val="24"/>
          <w:szCs w:val="24"/>
        </w:rPr>
        <w:t xml:space="preserve"> We </w:t>
      </w:r>
      <w:r w:rsidR="004B6A3A">
        <w:rPr>
          <w:rFonts w:ascii="Times New Roman" w:hAnsi="Times New Roman" w:cs="Times New Roman"/>
          <w:sz w:val="24"/>
          <w:szCs w:val="24"/>
        </w:rPr>
        <w:t>drop</w:t>
      </w:r>
      <w:r w:rsidR="00B5370C">
        <w:rPr>
          <w:rFonts w:ascii="Times New Roman" w:hAnsi="Times New Roman" w:cs="Times New Roman"/>
          <w:sz w:val="24"/>
          <w:szCs w:val="24"/>
        </w:rPr>
        <w:t xml:space="preserve"> this assumption in the next Part and consider a more complete environment in which investors </w:t>
      </w:r>
      <w:r w:rsidR="004B6A3A">
        <w:rPr>
          <w:rFonts w:ascii="Times New Roman" w:hAnsi="Times New Roman" w:cs="Times New Roman"/>
          <w:sz w:val="24"/>
          <w:szCs w:val="24"/>
        </w:rPr>
        <w:t xml:space="preserve">to one extent or another sort themselves and </w:t>
      </w:r>
      <w:r w:rsidR="003134A4">
        <w:rPr>
          <w:rFonts w:ascii="Times New Roman" w:hAnsi="Times New Roman" w:cs="Times New Roman"/>
          <w:sz w:val="24"/>
          <w:szCs w:val="24"/>
        </w:rPr>
        <w:t xml:space="preserve">choose the companies in which they invest based on their profit-sacrificing preferences and companies’ alignment with those preferences. </w:t>
      </w:r>
      <w:r w:rsidR="00B5370C">
        <w:rPr>
          <w:rFonts w:ascii="Times New Roman" w:hAnsi="Times New Roman" w:cs="Times New Roman"/>
          <w:sz w:val="24"/>
          <w:szCs w:val="24"/>
        </w:rPr>
        <w:t xml:space="preserve">The dissection of the question in this </w:t>
      </w:r>
      <w:r w:rsidR="00A663FA">
        <w:rPr>
          <w:rFonts w:ascii="Times New Roman" w:hAnsi="Times New Roman" w:cs="Times New Roman"/>
          <w:sz w:val="24"/>
          <w:szCs w:val="24"/>
        </w:rPr>
        <w:t>manner</w:t>
      </w:r>
      <w:r w:rsidR="00B5370C">
        <w:rPr>
          <w:rFonts w:ascii="Times New Roman" w:hAnsi="Times New Roman" w:cs="Times New Roman"/>
          <w:sz w:val="24"/>
          <w:szCs w:val="24"/>
        </w:rPr>
        <w:t xml:space="preserve"> allows us to isolate how heterogeneous investor preferences can affect firm behavior though </w:t>
      </w:r>
      <w:r w:rsidR="003134A4">
        <w:rPr>
          <w:rFonts w:ascii="Times New Roman" w:hAnsi="Times New Roman" w:cs="Times New Roman"/>
          <w:sz w:val="24"/>
          <w:szCs w:val="24"/>
        </w:rPr>
        <w:t xml:space="preserve">sorting </w:t>
      </w:r>
      <w:r w:rsidR="003B5092">
        <w:rPr>
          <w:rFonts w:ascii="Times New Roman" w:hAnsi="Times New Roman" w:cs="Times New Roman"/>
          <w:sz w:val="24"/>
          <w:szCs w:val="24"/>
        </w:rPr>
        <w:t xml:space="preserve">mechanisms </w:t>
      </w:r>
      <w:r w:rsidR="003134A4">
        <w:rPr>
          <w:rFonts w:ascii="Times New Roman" w:hAnsi="Times New Roman" w:cs="Times New Roman"/>
          <w:sz w:val="24"/>
          <w:szCs w:val="24"/>
        </w:rPr>
        <w:t xml:space="preserve">and </w:t>
      </w:r>
      <w:r w:rsidR="003B5092">
        <w:rPr>
          <w:rFonts w:ascii="Times New Roman" w:hAnsi="Times New Roman" w:cs="Times New Roman"/>
          <w:sz w:val="24"/>
          <w:szCs w:val="24"/>
        </w:rPr>
        <w:t>through the shareholder franchise.</w:t>
      </w:r>
      <w:r w:rsidR="00796064">
        <w:rPr>
          <w:rFonts w:ascii="Times New Roman" w:hAnsi="Times New Roman" w:cs="Times New Roman"/>
          <w:sz w:val="24"/>
          <w:szCs w:val="24"/>
        </w:rPr>
        <w:t xml:space="preserve"> </w:t>
      </w:r>
    </w:p>
    <w:p w14:paraId="228F3983" w14:textId="37E73D05" w:rsidR="003134A4" w:rsidRDefault="008106B1" w:rsidP="003134A4">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In </w:t>
      </w:r>
      <w:r w:rsidR="003C40BA">
        <w:rPr>
          <w:rFonts w:ascii="Times New Roman" w:hAnsi="Times New Roman" w:cs="Times New Roman"/>
          <w:sz w:val="24"/>
          <w:szCs w:val="24"/>
        </w:rPr>
        <w:t xml:space="preserve">this first-stage analysis constituting Part II, </w:t>
      </w:r>
      <w:r w:rsidR="009F3E7E" w:rsidRPr="005E3083">
        <w:rPr>
          <w:rFonts w:ascii="Times New Roman" w:hAnsi="Times New Roman" w:cs="Times New Roman"/>
          <w:sz w:val="24"/>
          <w:szCs w:val="24"/>
        </w:rPr>
        <w:t xml:space="preserve">we take the initial existing shareholder makeup of each of the </w:t>
      </w:r>
      <w:r w:rsidR="001D7523">
        <w:rPr>
          <w:rFonts w:ascii="Times New Roman" w:hAnsi="Times New Roman" w:cs="Times New Roman"/>
          <w:sz w:val="24"/>
          <w:szCs w:val="24"/>
        </w:rPr>
        <w:t>economy</w:t>
      </w:r>
      <w:r w:rsidR="009F3E7E" w:rsidRPr="005E3083">
        <w:rPr>
          <w:rFonts w:ascii="Times New Roman" w:hAnsi="Times New Roman" w:cs="Times New Roman"/>
          <w:sz w:val="24"/>
          <w:szCs w:val="24"/>
        </w:rPr>
        <w:t xml:space="preserve">’s public firms as </w:t>
      </w:r>
      <w:r w:rsidR="00D10532">
        <w:rPr>
          <w:rFonts w:ascii="Times New Roman" w:hAnsi="Times New Roman" w:cs="Times New Roman"/>
          <w:sz w:val="24"/>
          <w:szCs w:val="24"/>
        </w:rPr>
        <w:t>fixed and randomly drawn from universe of the economy’s equity investors</w:t>
      </w:r>
      <w:r w:rsidR="003C40BA">
        <w:rPr>
          <w:rFonts w:ascii="Times New Roman" w:hAnsi="Times New Roman" w:cs="Times New Roman"/>
          <w:sz w:val="24"/>
          <w:szCs w:val="24"/>
        </w:rPr>
        <w:t>. S</w:t>
      </w:r>
      <w:r w:rsidR="00D10532">
        <w:rPr>
          <w:rFonts w:ascii="Times New Roman" w:hAnsi="Times New Roman" w:cs="Times New Roman"/>
          <w:sz w:val="24"/>
          <w:szCs w:val="24"/>
        </w:rPr>
        <w:t>o any given firm’s shareholder base includes both profit maximizers and profit sacrificers, with each firm’s shareholder base resembling, on average, the composition of the economy’s equity investors generally</w:t>
      </w:r>
      <w:r w:rsidR="001D7523">
        <w:rPr>
          <w:rFonts w:ascii="Times New Roman" w:hAnsi="Times New Roman" w:cs="Times New Roman"/>
          <w:sz w:val="24"/>
          <w:szCs w:val="24"/>
        </w:rPr>
        <w:t>.</w:t>
      </w:r>
      <w:r w:rsidR="00A663FA">
        <w:rPr>
          <w:rStyle w:val="FootnoteReference"/>
          <w:rFonts w:ascii="Times New Roman" w:hAnsi="Times New Roman" w:cs="Times New Roman"/>
          <w:sz w:val="24"/>
          <w:szCs w:val="24"/>
        </w:rPr>
        <w:footnoteReference w:id="29"/>
      </w:r>
      <w:r w:rsidR="009F3E7E" w:rsidRPr="005E3083">
        <w:rPr>
          <w:rFonts w:ascii="Times New Roman" w:hAnsi="Times New Roman" w:cs="Times New Roman"/>
          <w:sz w:val="24"/>
          <w:szCs w:val="24"/>
        </w:rPr>
        <w:t xml:space="preserve">  </w:t>
      </w:r>
      <w:r w:rsidR="003C40BA">
        <w:rPr>
          <w:rFonts w:ascii="Times New Roman" w:hAnsi="Times New Roman" w:cs="Times New Roman"/>
          <w:sz w:val="24"/>
          <w:szCs w:val="24"/>
        </w:rPr>
        <w:t>Based on this setup, w</w:t>
      </w:r>
      <w:r w:rsidR="00942B5B">
        <w:rPr>
          <w:rFonts w:ascii="Times New Roman" w:hAnsi="Times New Roman" w:cs="Times New Roman"/>
          <w:sz w:val="24"/>
          <w:szCs w:val="24"/>
        </w:rPr>
        <w:t>e</w:t>
      </w:r>
      <w:r w:rsidR="009F3E7E" w:rsidRPr="005E3083">
        <w:rPr>
          <w:rFonts w:ascii="Times New Roman" w:hAnsi="Times New Roman" w:cs="Times New Roman"/>
          <w:sz w:val="24"/>
          <w:szCs w:val="24"/>
        </w:rPr>
        <w:t xml:space="preserve"> address</w:t>
      </w:r>
      <w:r w:rsidR="00D10532">
        <w:rPr>
          <w:rFonts w:ascii="Times New Roman" w:hAnsi="Times New Roman" w:cs="Times New Roman"/>
          <w:sz w:val="24"/>
          <w:szCs w:val="24"/>
        </w:rPr>
        <w:t xml:space="preserve"> whether the presence of profit sacrificing shareholders </w:t>
      </w:r>
      <w:r w:rsidR="003C40BA">
        <w:rPr>
          <w:rFonts w:ascii="Times New Roman" w:hAnsi="Times New Roman" w:cs="Times New Roman"/>
          <w:sz w:val="24"/>
          <w:szCs w:val="24"/>
        </w:rPr>
        <w:t xml:space="preserve">is likely to </w:t>
      </w:r>
      <w:r w:rsidR="00D10532">
        <w:rPr>
          <w:rFonts w:ascii="Times New Roman" w:hAnsi="Times New Roman" w:cs="Times New Roman"/>
          <w:sz w:val="24"/>
          <w:szCs w:val="24"/>
        </w:rPr>
        <w:t>cause</w:t>
      </w:r>
      <w:r w:rsidR="003C40BA">
        <w:rPr>
          <w:rFonts w:ascii="Times New Roman" w:hAnsi="Times New Roman" w:cs="Times New Roman"/>
          <w:sz w:val="24"/>
          <w:szCs w:val="24"/>
        </w:rPr>
        <w:t xml:space="preserve"> </w:t>
      </w:r>
      <w:r w:rsidR="00D10532">
        <w:rPr>
          <w:rFonts w:ascii="Times New Roman" w:hAnsi="Times New Roman" w:cs="Times New Roman"/>
          <w:sz w:val="24"/>
          <w:szCs w:val="24"/>
        </w:rPr>
        <w:t xml:space="preserve">firms to deviate from share value maximization </w:t>
      </w:r>
      <w:r w:rsidR="003C40BA">
        <w:rPr>
          <w:rFonts w:ascii="Times New Roman" w:hAnsi="Times New Roman" w:cs="Times New Roman"/>
          <w:sz w:val="24"/>
          <w:szCs w:val="24"/>
        </w:rPr>
        <w:t xml:space="preserve">significantly </w:t>
      </w:r>
      <w:r w:rsidR="00D10532">
        <w:rPr>
          <w:rFonts w:ascii="Times New Roman" w:hAnsi="Times New Roman" w:cs="Times New Roman"/>
          <w:sz w:val="24"/>
          <w:szCs w:val="24"/>
        </w:rPr>
        <w:t xml:space="preserve">more than if </w:t>
      </w:r>
      <w:r w:rsidR="002548DD">
        <w:rPr>
          <w:rFonts w:ascii="Times New Roman" w:hAnsi="Times New Roman" w:cs="Times New Roman"/>
          <w:sz w:val="24"/>
          <w:szCs w:val="24"/>
        </w:rPr>
        <w:t xml:space="preserve">there were no shareholder preference heterogeneity and </w:t>
      </w:r>
      <w:r w:rsidR="00D10532">
        <w:rPr>
          <w:rFonts w:ascii="Times New Roman" w:hAnsi="Times New Roman" w:cs="Times New Roman"/>
          <w:sz w:val="24"/>
          <w:szCs w:val="24"/>
        </w:rPr>
        <w:t>all shareholders were profit maximizers</w:t>
      </w:r>
      <w:r w:rsidR="00796064">
        <w:rPr>
          <w:rFonts w:ascii="Times New Roman" w:hAnsi="Times New Roman" w:cs="Times New Roman"/>
          <w:sz w:val="24"/>
          <w:szCs w:val="24"/>
        </w:rPr>
        <w:t xml:space="preserve">. </w:t>
      </w:r>
      <w:r w:rsidR="003C40BA">
        <w:rPr>
          <w:rFonts w:ascii="Times New Roman" w:hAnsi="Times New Roman" w:cs="Times New Roman"/>
          <w:sz w:val="24"/>
          <w:szCs w:val="24"/>
        </w:rPr>
        <w:t xml:space="preserve">We undertake this analysis by with regard to </w:t>
      </w:r>
      <w:r w:rsidR="009F3E7E" w:rsidRPr="005E3083">
        <w:rPr>
          <w:rFonts w:ascii="Times New Roman" w:hAnsi="Times New Roman" w:cs="Times New Roman"/>
          <w:sz w:val="24"/>
          <w:szCs w:val="24"/>
        </w:rPr>
        <w:t xml:space="preserve">each of the </w:t>
      </w:r>
      <w:r w:rsidR="00D10532">
        <w:rPr>
          <w:rFonts w:ascii="Times New Roman" w:hAnsi="Times New Roman" w:cs="Times New Roman"/>
          <w:sz w:val="24"/>
          <w:szCs w:val="24"/>
        </w:rPr>
        <w:t>three</w:t>
      </w:r>
      <w:r w:rsidR="009F3E7E" w:rsidRPr="005E3083">
        <w:rPr>
          <w:rFonts w:ascii="Times New Roman" w:hAnsi="Times New Roman" w:cs="Times New Roman"/>
          <w:sz w:val="24"/>
          <w:szCs w:val="24"/>
        </w:rPr>
        <w:t xml:space="preserve"> categories of </w:t>
      </w:r>
      <w:r w:rsidR="00D10532">
        <w:rPr>
          <w:rFonts w:ascii="Times New Roman" w:hAnsi="Times New Roman" w:cs="Times New Roman"/>
          <w:sz w:val="24"/>
          <w:szCs w:val="24"/>
        </w:rPr>
        <w:t xml:space="preserve">profit sacrificing </w:t>
      </w:r>
      <w:r w:rsidR="009F3E7E" w:rsidRPr="005E3083">
        <w:rPr>
          <w:rFonts w:ascii="Times New Roman" w:hAnsi="Times New Roman" w:cs="Times New Roman"/>
          <w:sz w:val="24"/>
          <w:szCs w:val="24"/>
        </w:rPr>
        <w:t>preferences</w:t>
      </w:r>
      <w:r w:rsidR="00942B5B">
        <w:rPr>
          <w:rFonts w:ascii="Times New Roman" w:hAnsi="Times New Roman" w:cs="Times New Roman"/>
          <w:sz w:val="24"/>
          <w:szCs w:val="24"/>
        </w:rPr>
        <w:t xml:space="preserve"> delineated in Part I</w:t>
      </w:r>
      <w:r w:rsidR="00796064">
        <w:rPr>
          <w:rFonts w:ascii="Times New Roman" w:hAnsi="Times New Roman" w:cs="Times New Roman"/>
          <w:sz w:val="24"/>
          <w:szCs w:val="24"/>
        </w:rPr>
        <w:t xml:space="preserve">. </w:t>
      </w:r>
    </w:p>
    <w:p w14:paraId="6FB9628B" w14:textId="683432E0" w:rsidR="00EE30FB" w:rsidRPr="005E3083" w:rsidRDefault="002E375E" w:rsidP="00EE30FB">
      <w:pPr>
        <w:pStyle w:val="ListParagraph"/>
        <w:numPr>
          <w:ilvl w:val="0"/>
          <w:numId w:val="4"/>
        </w:numPr>
        <w:spacing w:after="0" w:line="480" w:lineRule="auto"/>
        <w:jc w:val="center"/>
        <w:rPr>
          <w:rFonts w:cs="Times New Roman"/>
          <w:i/>
          <w:sz w:val="24"/>
          <w:szCs w:val="24"/>
        </w:rPr>
      </w:pPr>
      <w:r>
        <w:rPr>
          <w:rFonts w:cs="Times New Roman"/>
          <w:i/>
          <w:sz w:val="24"/>
          <w:szCs w:val="24"/>
        </w:rPr>
        <w:t>The Role of Shareholders and Managers</w:t>
      </w:r>
    </w:p>
    <w:p w14:paraId="6D04E0CC" w14:textId="137775C7" w:rsidR="009F3E7E" w:rsidRPr="005E3083" w:rsidRDefault="009F3E7E" w:rsidP="00F355E2">
      <w:pPr>
        <w:spacing w:after="0" w:line="480" w:lineRule="auto"/>
        <w:ind w:firstLine="720"/>
        <w:jc w:val="both"/>
        <w:rPr>
          <w:rFonts w:ascii="Times New Roman" w:hAnsi="Times New Roman" w:cs="Times New Roman"/>
          <w:sz w:val="24"/>
          <w:szCs w:val="24"/>
        </w:rPr>
      </w:pPr>
      <w:r w:rsidRPr="005E3083">
        <w:rPr>
          <w:rFonts w:ascii="Times New Roman" w:hAnsi="Times New Roman" w:cs="Times New Roman"/>
          <w:sz w:val="24"/>
          <w:szCs w:val="24"/>
        </w:rPr>
        <w:t>A fundamental feature of our current corporate law is that a corporation is managed under the direction and authority of its board of directors, who in turn choose the officials making day-to-day decisions (we will refer to the combination of the board and these managers as “management” or “managers”).</w:t>
      </w:r>
      <w:r w:rsidRPr="005E3083">
        <w:rPr>
          <w:rStyle w:val="FootnoteReference"/>
          <w:rFonts w:ascii="Times New Roman" w:hAnsi="Times New Roman" w:cs="Times New Roman"/>
          <w:sz w:val="24"/>
          <w:szCs w:val="24"/>
        </w:rPr>
        <w:footnoteReference w:id="30"/>
      </w:r>
      <w:r w:rsidRPr="005E3083">
        <w:rPr>
          <w:rFonts w:ascii="Times New Roman" w:hAnsi="Times New Roman" w:cs="Times New Roman"/>
          <w:sz w:val="24"/>
          <w:szCs w:val="24"/>
        </w:rPr>
        <w:t xml:space="preserve"> The role of shareholders is legally circumscribed and limited to </w:t>
      </w:r>
      <w:r w:rsidRPr="005E3083">
        <w:rPr>
          <w:rFonts w:ascii="Times New Roman" w:hAnsi="Times New Roman" w:cs="Times New Roman"/>
          <w:sz w:val="24"/>
          <w:szCs w:val="24"/>
        </w:rPr>
        <w:lastRenderedPageBreak/>
        <w:t xml:space="preserve">certain discrete matters such as electing directors (typically by majority vote), approving certain extraordinary transactions, </w:t>
      </w:r>
      <w:r w:rsidR="00D329D0">
        <w:rPr>
          <w:rFonts w:ascii="Times New Roman" w:hAnsi="Times New Roman" w:cs="Times New Roman"/>
          <w:sz w:val="24"/>
          <w:szCs w:val="24"/>
        </w:rPr>
        <w:t xml:space="preserve">cleansing interested party transactions, </w:t>
      </w:r>
      <w:r w:rsidRPr="005E3083">
        <w:rPr>
          <w:rFonts w:ascii="Times New Roman" w:hAnsi="Times New Roman" w:cs="Times New Roman"/>
          <w:sz w:val="24"/>
          <w:szCs w:val="24"/>
        </w:rPr>
        <w:t xml:space="preserve">and voting on nonbinding </w:t>
      </w:r>
      <w:r w:rsidR="003B5092">
        <w:rPr>
          <w:rFonts w:ascii="Times New Roman" w:hAnsi="Times New Roman" w:cs="Times New Roman"/>
          <w:sz w:val="24"/>
          <w:szCs w:val="24"/>
        </w:rPr>
        <w:t xml:space="preserve">(so-called “precatory”) </w:t>
      </w:r>
      <w:r w:rsidRPr="005E3083">
        <w:rPr>
          <w:rFonts w:ascii="Times New Roman" w:hAnsi="Times New Roman" w:cs="Times New Roman"/>
          <w:sz w:val="24"/>
          <w:szCs w:val="24"/>
        </w:rPr>
        <w:t xml:space="preserve">proposals for management consideration. So in the first instance, the corporation’s managers, not its shareholders, are the persons who </w:t>
      </w:r>
      <w:r w:rsidR="00DC2CE7">
        <w:rPr>
          <w:rFonts w:ascii="Times New Roman" w:hAnsi="Times New Roman" w:cs="Times New Roman"/>
          <w:sz w:val="24"/>
          <w:szCs w:val="24"/>
        </w:rPr>
        <w:t xml:space="preserve">largely </w:t>
      </w:r>
      <w:r w:rsidRPr="005E3083">
        <w:rPr>
          <w:rFonts w:ascii="Times New Roman" w:hAnsi="Times New Roman" w:cs="Times New Roman"/>
          <w:sz w:val="24"/>
          <w:szCs w:val="24"/>
        </w:rPr>
        <w:t xml:space="preserve">determine how the corporation behaves. </w:t>
      </w:r>
      <w:r w:rsidR="00DC2CE7">
        <w:rPr>
          <w:rFonts w:ascii="Times New Roman" w:hAnsi="Times New Roman" w:cs="Times New Roman"/>
          <w:sz w:val="24"/>
          <w:szCs w:val="24"/>
        </w:rPr>
        <w:t>T</w:t>
      </w:r>
      <w:r w:rsidR="00DC2CE7" w:rsidRPr="005E3083">
        <w:rPr>
          <w:rFonts w:ascii="Times New Roman" w:hAnsi="Times New Roman" w:cs="Times New Roman"/>
          <w:sz w:val="24"/>
          <w:szCs w:val="24"/>
        </w:rPr>
        <w:t>he presence of shareholder</w:t>
      </w:r>
      <w:r w:rsidR="003C40BA">
        <w:rPr>
          <w:rFonts w:ascii="Times New Roman" w:hAnsi="Times New Roman" w:cs="Times New Roman"/>
          <w:sz w:val="24"/>
          <w:szCs w:val="24"/>
        </w:rPr>
        <w:t xml:space="preserve">s with </w:t>
      </w:r>
      <w:r w:rsidR="009C5B39">
        <w:rPr>
          <w:rFonts w:ascii="Times New Roman" w:hAnsi="Times New Roman" w:cs="Times New Roman"/>
          <w:sz w:val="24"/>
          <w:szCs w:val="24"/>
        </w:rPr>
        <w:t xml:space="preserve">profit-sacrificing </w:t>
      </w:r>
      <w:r w:rsidR="00DC2CE7" w:rsidRPr="005E3083">
        <w:rPr>
          <w:rFonts w:ascii="Times New Roman" w:hAnsi="Times New Roman" w:cs="Times New Roman"/>
          <w:sz w:val="24"/>
          <w:szCs w:val="24"/>
        </w:rPr>
        <w:t>preference</w:t>
      </w:r>
      <w:r w:rsidR="003C40BA">
        <w:rPr>
          <w:rFonts w:ascii="Times New Roman" w:hAnsi="Times New Roman" w:cs="Times New Roman"/>
          <w:sz w:val="24"/>
          <w:szCs w:val="24"/>
        </w:rPr>
        <w:t>s</w:t>
      </w:r>
      <w:r w:rsidR="00DC2CE7" w:rsidRPr="005E3083">
        <w:rPr>
          <w:rFonts w:ascii="Times New Roman" w:hAnsi="Times New Roman" w:cs="Times New Roman"/>
          <w:sz w:val="24"/>
          <w:szCs w:val="24"/>
        </w:rPr>
        <w:t xml:space="preserve"> </w:t>
      </w:r>
      <w:r w:rsidR="003C40BA">
        <w:rPr>
          <w:rFonts w:ascii="Times New Roman" w:hAnsi="Times New Roman" w:cs="Times New Roman"/>
          <w:sz w:val="24"/>
          <w:szCs w:val="24"/>
        </w:rPr>
        <w:t xml:space="preserve">that </w:t>
      </w:r>
      <w:r w:rsidR="00DC2CE7" w:rsidRPr="005E3083">
        <w:rPr>
          <w:rFonts w:ascii="Times New Roman" w:hAnsi="Times New Roman" w:cs="Times New Roman"/>
          <w:sz w:val="24"/>
          <w:szCs w:val="24"/>
        </w:rPr>
        <w:t xml:space="preserve">fall into any of the </w:t>
      </w:r>
      <w:r w:rsidR="003C40BA">
        <w:rPr>
          <w:rFonts w:ascii="Times New Roman" w:hAnsi="Times New Roman" w:cs="Times New Roman"/>
          <w:sz w:val="24"/>
          <w:szCs w:val="24"/>
        </w:rPr>
        <w:t xml:space="preserve">three </w:t>
      </w:r>
      <w:r w:rsidR="00DC2CE7" w:rsidRPr="005E3083">
        <w:rPr>
          <w:rFonts w:ascii="Times New Roman" w:hAnsi="Times New Roman" w:cs="Times New Roman"/>
          <w:sz w:val="24"/>
          <w:szCs w:val="24"/>
        </w:rPr>
        <w:t xml:space="preserve">categories delineated above </w:t>
      </w:r>
      <w:r w:rsidR="00DC2CE7">
        <w:rPr>
          <w:rFonts w:ascii="Times New Roman" w:hAnsi="Times New Roman" w:cs="Times New Roman"/>
          <w:sz w:val="24"/>
          <w:szCs w:val="24"/>
        </w:rPr>
        <w:t>can only affect corporate behavior, if at all, by their effects on and through t</w:t>
      </w:r>
      <w:r w:rsidRPr="005E3083">
        <w:rPr>
          <w:rFonts w:ascii="Times New Roman" w:hAnsi="Times New Roman" w:cs="Times New Roman"/>
          <w:sz w:val="24"/>
          <w:szCs w:val="24"/>
        </w:rPr>
        <w:t>he incentive structure within which firm managers operate</w:t>
      </w:r>
      <w:r w:rsidR="00DC2CE7">
        <w:rPr>
          <w:rFonts w:ascii="Times New Roman" w:hAnsi="Times New Roman" w:cs="Times New Roman"/>
          <w:sz w:val="24"/>
          <w:szCs w:val="24"/>
        </w:rPr>
        <w:t>. This is because it is this incentive structure</w:t>
      </w:r>
      <w:r w:rsidRPr="005E3083">
        <w:rPr>
          <w:rFonts w:ascii="Times New Roman" w:hAnsi="Times New Roman" w:cs="Times New Roman"/>
          <w:sz w:val="24"/>
          <w:szCs w:val="24"/>
        </w:rPr>
        <w:t xml:space="preserve">, coupled with </w:t>
      </w:r>
      <w:r w:rsidR="0052465B">
        <w:rPr>
          <w:rFonts w:ascii="Times New Roman" w:hAnsi="Times New Roman" w:cs="Times New Roman"/>
          <w:sz w:val="24"/>
          <w:szCs w:val="24"/>
        </w:rPr>
        <w:t>managements’</w:t>
      </w:r>
      <w:r w:rsidRPr="005E3083">
        <w:rPr>
          <w:rFonts w:ascii="Times New Roman" w:hAnsi="Times New Roman" w:cs="Times New Roman"/>
          <w:sz w:val="24"/>
          <w:szCs w:val="24"/>
        </w:rPr>
        <w:t xml:space="preserve"> own preferences </w:t>
      </w:r>
      <w:r w:rsidR="0052465B">
        <w:rPr>
          <w:rFonts w:ascii="Times New Roman" w:hAnsi="Times New Roman" w:cs="Times New Roman"/>
          <w:sz w:val="24"/>
          <w:szCs w:val="24"/>
        </w:rPr>
        <w:t xml:space="preserve">(shaped perhaps by their social environment) </w:t>
      </w:r>
      <w:r w:rsidRPr="005E3083">
        <w:rPr>
          <w:rFonts w:ascii="Times New Roman" w:hAnsi="Times New Roman" w:cs="Times New Roman"/>
          <w:sz w:val="24"/>
          <w:szCs w:val="24"/>
        </w:rPr>
        <w:t xml:space="preserve">and information set, </w:t>
      </w:r>
      <w:r w:rsidR="0052465B">
        <w:rPr>
          <w:rFonts w:ascii="Times New Roman" w:hAnsi="Times New Roman" w:cs="Times New Roman"/>
          <w:sz w:val="24"/>
          <w:szCs w:val="24"/>
        </w:rPr>
        <w:t xml:space="preserve">that, contingent on the markets for the corporation’s inputs and outputs, </w:t>
      </w:r>
      <w:r w:rsidRPr="005E3083">
        <w:rPr>
          <w:rFonts w:ascii="Times New Roman" w:hAnsi="Times New Roman" w:cs="Times New Roman"/>
          <w:sz w:val="24"/>
          <w:szCs w:val="24"/>
        </w:rPr>
        <w:t xml:space="preserve">determine </w:t>
      </w:r>
      <w:r w:rsidR="003C40BA">
        <w:rPr>
          <w:rFonts w:ascii="Times New Roman" w:hAnsi="Times New Roman" w:cs="Times New Roman"/>
          <w:sz w:val="24"/>
          <w:szCs w:val="24"/>
        </w:rPr>
        <w:t xml:space="preserve">the corporation’s </w:t>
      </w:r>
      <w:r w:rsidRPr="005E3083">
        <w:rPr>
          <w:rFonts w:ascii="Times New Roman" w:hAnsi="Times New Roman" w:cs="Times New Roman"/>
          <w:sz w:val="24"/>
          <w:szCs w:val="24"/>
        </w:rPr>
        <w:t>behavior</w:t>
      </w:r>
      <w:r w:rsidR="0052465B">
        <w:rPr>
          <w:rFonts w:ascii="Times New Roman" w:hAnsi="Times New Roman" w:cs="Times New Roman"/>
          <w:sz w:val="24"/>
          <w:szCs w:val="24"/>
        </w:rPr>
        <w:t>.</w:t>
      </w:r>
      <w:r w:rsidRPr="005E3083">
        <w:rPr>
          <w:rFonts w:ascii="Times New Roman" w:hAnsi="Times New Roman" w:cs="Times New Roman"/>
          <w:sz w:val="24"/>
          <w:szCs w:val="24"/>
        </w:rPr>
        <w:t xml:space="preserve"> </w:t>
      </w:r>
    </w:p>
    <w:p w14:paraId="6F30DAEE" w14:textId="5CF2C5B9" w:rsidR="009F3E7E" w:rsidRPr="005E3083" w:rsidRDefault="009F3E7E" w:rsidP="00F355E2">
      <w:pPr>
        <w:spacing w:after="0" w:line="480" w:lineRule="auto"/>
        <w:jc w:val="both"/>
        <w:rPr>
          <w:rFonts w:ascii="Times New Roman" w:hAnsi="Times New Roman" w:cs="Times New Roman"/>
          <w:sz w:val="24"/>
          <w:szCs w:val="24"/>
        </w:rPr>
      </w:pPr>
      <w:r w:rsidRPr="005E3083">
        <w:rPr>
          <w:rFonts w:ascii="Times New Roman" w:hAnsi="Times New Roman" w:cs="Times New Roman"/>
          <w:sz w:val="24"/>
          <w:szCs w:val="24"/>
        </w:rPr>
        <w:tab/>
        <w:t xml:space="preserve">This incentive structure is one with which we are already familiar from the study of the agency costs of management. It consists of a number of </w:t>
      </w:r>
      <w:r w:rsidR="00B0708A">
        <w:rPr>
          <w:rFonts w:ascii="Times New Roman" w:hAnsi="Times New Roman" w:cs="Times New Roman"/>
          <w:sz w:val="24"/>
          <w:szCs w:val="24"/>
        </w:rPr>
        <w:t xml:space="preserve">incentivizing </w:t>
      </w:r>
      <w:r w:rsidRPr="005E3083">
        <w:rPr>
          <w:rFonts w:ascii="Times New Roman" w:hAnsi="Times New Roman" w:cs="Times New Roman"/>
          <w:sz w:val="24"/>
          <w:szCs w:val="24"/>
        </w:rPr>
        <w:t xml:space="preserve">sticks and carrots. The sticks involve a variety of threats: (i) the exercise of the shareholder franchise through a proxy fight (the threat of management being voted out of office by its existing shareholders) and related mechanisms, such as using proxy access to nominate competing directors and voting against unopposed directors; (ii) a hostile tender (the threat that some person will purchase enough shares to be able itself to vote management out of office); (iii) an activist campaign (the threat that some person purchases a foothold stake in the firm and then persuades a sufficient number of existing shareholders to vote to replace management); (iv) sale of a share position (the threat of a shareholder with a significant block of shares selling and thereby depressing share price to the disadvantage of the managers); and (v) fiduciary duties (the threat of a derivative suit against the firm’s directors and officers claiming that they are not acting in the best interests of the corporation </w:t>
      </w:r>
      <w:r w:rsidRPr="005E3083">
        <w:rPr>
          <w:rFonts w:ascii="Times New Roman" w:hAnsi="Times New Roman" w:cs="Times New Roman"/>
          <w:sz w:val="24"/>
          <w:szCs w:val="24"/>
        </w:rPr>
        <w:lastRenderedPageBreak/>
        <w:t>and its shareholders). The carrots are the design of the managers’ compensation packages and the managers’ own shareholdings in the firm.</w:t>
      </w:r>
      <w:r w:rsidRPr="005E3083">
        <w:rPr>
          <w:rStyle w:val="FootnoteReference"/>
          <w:rFonts w:ascii="Times New Roman" w:hAnsi="Times New Roman" w:cs="Times New Roman"/>
          <w:sz w:val="24"/>
          <w:szCs w:val="24"/>
        </w:rPr>
        <w:footnoteReference w:id="31"/>
      </w:r>
      <w:r w:rsidRPr="005E3083">
        <w:rPr>
          <w:rFonts w:ascii="Times New Roman" w:hAnsi="Times New Roman" w:cs="Times New Roman"/>
          <w:sz w:val="24"/>
          <w:szCs w:val="24"/>
        </w:rPr>
        <w:t xml:space="preserve">  </w:t>
      </w:r>
    </w:p>
    <w:p w14:paraId="3A09AFBF" w14:textId="77777777" w:rsidR="009F3E7E" w:rsidRPr="005E3083" w:rsidRDefault="009F3E7E" w:rsidP="00F355E2">
      <w:pPr>
        <w:pStyle w:val="ListParagraph"/>
        <w:numPr>
          <w:ilvl w:val="0"/>
          <w:numId w:val="4"/>
        </w:numPr>
        <w:spacing w:after="0" w:line="480" w:lineRule="auto"/>
        <w:jc w:val="center"/>
        <w:rPr>
          <w:rFonts w:cs="Times New Roman"/>
          <w:i/>
          <w:sz w:val="24"/>
          <w:szCs w:val="24"/>
        </w:rPr>
      </w:pPr>
      <w:r w:rsidRPr="005E3083">
        <w:rPr>
          <w:rFonts w:cs="Times New Roman"/>
          <w:i/>
          <w:sz w:val="24"/>
          <w:szCs w:val="24"/>
        </w:rPr>
        <w:t>The Interests of Management</w:t>
      </w:r>
    </w:p>
    <w:p w14:paraId="685490FA" w14:textId="33853A1C" w:rsidR="009F3E7E" w:rsidRDefault="009F3E7E" w:rsidP="00F355E2">
      <w:pPr>
        <w:spacing w:after="0" w:line="480" w:lineRule="auto"/>
        <w:jc w:val="both"/>
        <w:rPr>
          <w:rFonts w:ascii="Times New Roman" w:hAnsi="Times New Roman" w:cs="Times New Roman"/>
          <w:sz w:val="24"/>
          <w:szCs w:val="24"/>
        </w:rPr>
      </w:pPr>
      <w:r w:rsidRPr="005E3083">
        <w:rPr>
          <w:rFonts w:ascii="Times New Roman" w:hAnsi="Times New Roman" w:cs="Times New Roman"/>
          <w:sz w:val="24"/>
          <w:szCs w:val="24"/>
        </w:rPr>
        <w:tab/>
        <w:t>The starting point for figuring out how the incentive structure in which a firm’s managers work affect the decisions they make is to identify the managers’ own interests</w:t>
      </w:r>
      <w:r w:rsidR="00867842">
        <w:rPr>
          <w:rFonts w:ascii="Times New Roman" w:hAnsi="Times New Roman" w:cs="Times New Roman"/>
          <w:sz w:val="24"/>
          <w:szCs w:val="24"/>
        </w:rPr>
        <w:t xml:space="preserve"> and how they may lead to decisions concerning the behavior of the firm that differ from what any particular shareholder might prefer</w:t>
      </w:r>
      <w:r w:rsidRPr="005E3083">
        <w:rPr>
          <w:rFonts w:ascii="Times New Roman" w:hAnsi="Times New Roman" w:cs="Times New Roman"/>
          <w:sz w:val="24"/>
          <w:szCs w:val="24"/>
        </w:rPr>
        <w:t>.</w:t>
      </w:r>
      <w:r w:rsidR="00867842" w:rsidRPr="00867842">
        <w:rPr>
          <w:rStyle w:val="FootnoteReference"/>
          <w:rFonts w:ascii="Times New Roman" w:hAnsi="Times New Roman" w:cs="Times New Roman"/>
          <w:sz w:val="24"/>
          <w:szCs w:val="24"/>
        </w:rPr>
        <w:t xml:space="preserve"> </w:t>
      </w:r>
      <w:bookmarkStart w:id="10" w:name="_Ref180497425"/>
      <w:r w:rsidR="00867842">
        <w:rPr>
          <w:rStyle w:val="FootnoteReference"/>
          <w:rFonts w:ascii="Times New Roman" w:hAnsi="Times New Roman" w:cs="Times New Roman"/>
          <w:sz w:val="24"/>
          <w:szCs w:val="24"/>
        </w:rPr>
        <w:footnoteReference w:id="32"/>
      </w:r>
      <w:bookmarkEnd w:id="10"/>
      <w:r w:rsidRPr="005E3083">
        <w:rPr>
          <w:rFonts w:ascii="Times New Roman" w:hAnsi="Times New Roman" w:cs="Times New Roman"/>
          <w:sz w:val="24"/>
          <w:szCs w:val="24"/>
        </w:rPr>
        <w:t xml:space="preserve"> A manager’s position in the firm is likely to give her, to one extent or another, a variety of benefits</w:t>
      </w:r>
      <w:r w:rsidR="00257257">
        <w:rPr>
          <w:rFonts w:ascii="Times New Roman" w:hAnsi="Times New Roman" w:cs="Times New Roman"/>
          <w:sz w:val="24"/>
          <w:szCs w:val="24"/>
        </w:rPr>
        <w:t>.</w:t>
      </w:r>
      <w:r w:rsidRPr="005E3083">
        <w:rPr>
          <w:rFonts w:ascii="Times New Roman" w:hAnsi="Times New Roman" w:cs="Times New Roman"/>
          <w:sz w:val="24"/>
          <w:szCs w:val="24"/>
        </w:rPr>
        <w:t xml:space="preserve"> </w:t>
      </w:r>
      <w:r w:rsidR="00257257">
        <w:rPr>
          <w:rFonts w:ascii="Times New Roman" w:hAnsi="Times New Roman" w:cs="Times New Roman"/>
          <w:sz w:val="24"/>
          <w:szCs w:val="24"/>
        </w:rPr>
        <w:t xml:space="preserve">These would include the strictly self-interested ones of </w:t>
      </w:r>
      <w:r w:rsidRPr="005E3083">
        <w:rPr>
          <w:rFonts w:ascii="Times New Roman" w:hAnsi="Times New Roman" w:cs="Times New Roman"/>
          <w:sz w:val="24"/>
          <w:szCs w:val="24"/>
        </w:rPr>
        <w:t>compensation, perquisites, power, prestige, the pleasure of benefiting her associates in the firm</w:t>
      </w:r>
      <w:r w:rsidR="0091260A">
        <w:rPr>
          <w:rFonts w:ascii="Times New Roman" w:hAnsi="Times New Roman" w:cs="Times New Roman"/>
          <w:sz w:val="24"/>
          <w:szCs w:val="24"/>
        </w:rPr>
        <w:t xml:space="preserve">, and </w:t>
      </w:r>
      <w:r w:rsidR="00257257">
        <w:rPr>
          <w:rFonts w:ascii="Times New Roman" w:hAnsi="Times New Roman" w:cs="Times New Roman"/>
          <w:sz w:val="24"/>
          <w:szCs w:val="24"/>
        </w:rPr>
        <w:t xml:space="preserve">include as well the enjoyment of more other-regarding benefits in the forms of </w:t>
      </w:r>
      <w:r w:rsidRPr="005E3083">
        <w:rPr>
          <w:rFonts w:ascii="Times New Roman" w:hAnsi="Times New Roman" w:cs="Times New Roman"/>
          <w:sz w:val="24"/>
          <w:szCs w:val="24"/>
        </w:rPr>
        <w:t>a virtuous reputation</w:t>
      </w:r>
      <w:r w:rsidR="00257257">
        <w:rPr>
          <w:rFonts w:ascii="Times New Roman" w:hAnsi="Times New Roman" w:cs="Times New Roman"/>
          <w:sz w:val="24"/>
          <w:szCs w:val="24"/>
        </w:rPr>
        <w:t xml:space="preserve"> </w:t>
      </w:r>
      <w:r w:rsidRPr="005E3083">
        <w:rPr>
          <w:rFonts w:ascii="Times New Roman" w:hAnsi="Times New Roman" w:cs="Times New Roman"/>
          <w:sz w:val="24"/>
          <w:szCs w:val="24"/>
        </w:rPr>
        <w:t>and a personal sense of doing social good.</w:t>
      </w:r>
      <w:r w:rsidR="0091260A">
        <w:rPr>
          <w:rStyle w:val="FootnoteReference"/>
          <w:rFonts w:ascii="Times New Roman" w:hAnsi="Times New Roman" w:cs="Times New Roman"/>
          <w:sz w:val="24"/>
          <w:szCs w:val="24"/>
        </w:rPr>
        <w:footnoteReference w:id="33"/>
      </w:r>
      <w:r w:rsidRPr="005E3083">
        <w:rPr>
          <w:rFonts w:ascii="Times New Roman" w:hAnsi="Times New Roman" w:cs="Times New Roman"/>
          <w:sz w:val="24"/>
          <w:szCs w:val="24"/>
        </w:rPr>
        <w:t xml:space="preserve"> </w:t>
      </w:r>
    </w:p>
    <w:p w14:paraId="0F4AA5D5" w14:textId="07D1A9EB" w:rsidR="009F3E7E" w:rsidRPr="005E3083" w:rsidRDefault="009F3E7E" w:rsidP="00F355E2">
      <w:pPr>
        <w:spacing w:after="0" w:line="480" w:lineRule="auto"/>
        <w:jc w:val="both"/>
        <w:rPr>
          <w:rFonts w:ascii="Times New Roman" w:hAnsi="Times New Roman" w:cs="Times New Roman"/>
          <w:sz w:val="24"/>
          <w:szCs w:val="24"/>
        </w:rPr>
      </w:pPr>
      <w:r w:rsidRPr="005E3083">
        <w:rPr>
          <w:rFonts w:ascii="Times New Roman" w:hAnsi="Times New Roman" w:cs="Times New Roman"/>
          <w:sz w:val="24"/>
          <w:szCs w:val="24"/>
        </w:rPr>
        <w:tab/>
      </w:r>
      <w:r w:rsidRPr="005E3083">
        <w:rPr>
          <w:rFonts w:ascii="Times New Roman" w:hAnsi="Times New Roman" w:cs="Times New Roman"/>
          <w:i/>
          <w:sz w:val="24"/>
          <w:szCs w:val="24"/>
        </w:rPr>
        <w:t xml:space="preserve">1. Managerial interests incentivizing resistance to deviations from share-value-maximizing decisions. </w:t>
      </w:r>
      <w:r w:rsidRPr="005E3083">
        <w:rPr>
          <w:rFonts w:ascii="Times New Roman" w:hAnsi="Times New Roman" w:cs="Times New Roman"/>
          <w:sz w:val="24"/>
          <w:szCs w:val="24"/>
        </w:rPr>
        <w:t xml:space="preserve">On a period-by-period basis, decisions that maximize the firm’s residuals – the difference between what it can sell its output for and the cost of producing that output – maximize the capacity of the firm to provide the managers with the </w:t>
      </w:r>
      <w:r w:rsidR="00257257">
        <w:rPr>
          <w:rFonts w:ascii="Times New Roman" w:hAnsi="Times New Roman" w:cs="Times New Roman"/>
          <w:sz w:val="24"/>
          <w:szCs w:val="24"/>
        </w:rPr>
        <w:t>strictly self-interested benefits</w:t>
      </w:r>
      <w:r w:rsidR="00796064">
        <w:rPr>
          <w:rFonts w:ascii="Times New Roman" w:hAnsi="Times New Roman" w:cs="Times New Roman"/>
          <w:sz w:val="24"/>
          <w:szCs w:val="24"/>
        </w:rPr>
        <w:t xml:space="preserve">. </w:t>
      </w:r>
      <w:r w:rsidRPr="005E3083">
        <w:rPr>
          <w:rFonts w:ascii="Times New Roman" w:hAnsi="Times New Roman" w:cs="Times New Roman"/>
          <w:sz w:val="24"/>
          <w:szCs w:val="24"/>
        </w:rPr>
        <w:t>So, to the extent man</w:t>
      </w:r>
      <w:r w:rsidR="001A6C73">
        <w:rPr>
          <w:rFonts w:ascii="Times New Roman" w:hAnsi="Times New Roman" w:cs="Times New Roman"/>
          <w:sz w:val="24"/>
          <w:szCs w:val="24"/>
        </w:rPr>
        <w:t>a</w:t>
      </w:r>
      <w:r w:rsidRPr="005E3083">
        <w:rPr>
          <w:rFonts w:ascii="Times New Roman" w:hAnsi="Times New Roman" w:cs="Times New Roman"/>
          <w:sz w:val="24"/>
          <w:szCs w:val="24"/>
        </w:rPr>
        <w:t>gers are impelled by seeking these benefits, they are inclined to make residual maximizing decisions</w:t>
      </w:r>
      <w:r w:rsidR="00796064">
        <w:rPr>
          <w:rFonts w:ascii="Times New Roman" w:hAnsi="Times New Roman" w:cs="Times New Roman"/>
          <w:sz w:val="24"/>
          <w:szCs w:val="24"/>
        </w:rPr>
        <w:t xml:space="preserve">. </w:t>
      </w:r>
      <w:r w:rsidRPr="005E3083">
        <w:rPr>
          <w:rFonts w:ascii="Times New Roman" w:hAnsi="Times New Roman" w:cs="Times New Roman"/>
          <w:sz w:val="24"/>
          <w:szCs w:val="24"/>
        </w:rPr>
        <w:t xml:space="preserve">As will become clear when, in the sections below, we explore the forces making up the existing managerial incentive structure, this </w:t>
      </w:r>
      <w:r w:rsidR="009C5B39">
        <w:rPr>
          <w:rFonts w:ascii="Times New Roman" w:hAnsi="Times New Roman" w:cs="Times New Roman"/>
          <w:sz w:val="24"/>
          <w:szCs w:val="24"/>
        </w:rPr>
        <w:t xml:space="preserve">alignment between the management  </w:t>
      </w:r>
      <w:r w:rsidR="009C5B39">
        <w:rPr>
          <w:rFonts w:ascii="Times New Roman" w:hAnsi="Times New Roman" w:cs="Times New Roman"/>
          <w:sz w:val="24"/>
          <w:szCs w:val="24"/>
        </w:rPr>
        <w:lastRenderedPageBreak/>
        <w:t xml:space="preserve">decisions that serve their own interests managerial interests and the ones that maximize share value </w:t>
      </w:r>
      <w:r w:rsidRPr="005E3083">
        <w:rPr>
          <w:rFonts w:ascii="Times New Roman" w:hAnsi="Times New Roman" w:cs="Times New Roman"/>
          <w:sz w:val="24"/>
          <w:szCs w:val="24"/>
        </w:rPr>
        <w:t xml:space="preserve">poses a very serious impediment to the desires of any portion of shareholders willing to sacrifice share value </w:t>
      </w:r>
      <w:r w:rsidR="00861543">
        <w:rPr>
          <w:rFonts w:ascii="Times New Roman" w:hAnsi="Times New Roman" w:cs="Times New Roman"/>
          <w:sz w:val="24"/>
          <w:szCs w:val="24"/>
        </w:rPr>
        <w:t xml:space="preserve">in furtherance of </w:t>
      </w:r>
      <w:r w:rsidRPr="005E3083">
        <w:rPr>
          <w:rFonts w:ascii="Times New Roman" w:hAnsi="Times New Roman" w:cs="Times New Roman"/>
          <w:sz w:val="24"/>
          <w:szCs w:val="24"/>
        </w:rPr>
        <w:t xml:space="preserve">some market imperfection </w:t>
      </w:r>
      <w:r w:rsidR="00861543">
        <w:rPr>
          <w:rFonts w:ascii="Times New Roman" w:hAnsi="Times New Roman" w:cs="Times New Roman"/>
          <w:sz w:val="24"/>
          <w:szCs w:val="24"/>
        </w:rPr>
        <w:t xml:space="preserve">correction </w:t>
      </w:r>
      <w:r w:rsidRPr="005E3083">
        <w:rPr>
          <w:rFonts w:ascii="Times New Roman" w:hAnsi="Times New Roman" w:cs="Times New Roman"/>
          <w:sz w:val="24"/>
          <w:szCs w:val="24"/>
        </w:rPr>
        <w:t xml:space="preserve">or distributional </w:t>
      </w:r>
      <w:r w:rsidR="00861543">
        <w:rPr>
          <w:rFonts w:ascii="Times New Roman" w:hAnsi="Times New Roman" w:cs="Times New Roman"/>
          <w:sz w:val="24"/>
          <w:szCs w:val="24"/>
        </w:rPr>
        <w:t>end</w:t>
      </w:r>
      <w:r w:rsidRPr="005E3083">
        <w:rPr>
          <w:rFonts w:ascii="Times New Roman" w:hAnsi="Times New Roman" w:cs="Times New Roman"/>
          <w:sz w:val="24"/>
          <w:szCs w:val="24"/>
        </w:rPr>
        <w:t>.</w:t>
      </w:r>
      <w:r w:rsidRPr="005E3083">
        <w:rPr>
          <w:rStyle w:val="FootnoteReference"/>
          <w:rFonts w:ascii="Times New Roman" w:hAnsi="Times New Roman" w:cs="Times New Roman"/>
          <w:sz w:val="24"/>
          <w:szCs w:val="24"/>
        </w:rPr>
        <w:footnoteReference w:id="34"/>
      </w:r>
    </w:p>
    <w:p w14:paraId="541B0105" w14:textId="1A710F9B" w:rsidR="009F3E7E" w:rsidRPr="005E3083" w:rsidRDefault="009F3E7E" w:rsidP="00174F69">
      <w:pPr>
        <w:spacing w:after="0" w:line="480" w:lineRule="auto"/>
        <w:jc w:val="both"/>
        <w:rPr>
          <w:rFonts w:ascii="Times New Roman" w:hAnsi="Times New Roman" w:cs="Times New Roman"/>
          <w:sz w:val="24"/>
          <w:szCs w:val="24"/>
        </w:rPr>
      </w:pPr>
      <w:r w:rsidRPr="005E3083">
        <w:rPr>
          <w:rFonts w:ascii="Times New Roman" w:hAnsi="Times New Roman" w:cs="Times New Roman"/>
          <w:sz w:val="24"/>
          <w:szCs w:val="24"/>
        </w:rPr>
        <w:tab/>
        <w:t xml:space="preserve">    </w:t>
      </w:r>
      <w:r w:rsidRPr="005E3083">
        <w:rPr>
          <w:rFonts w:ascii="Times New Roman" w:hAnsi="Times New Roman" w:cs="Times New Roman"/>
          <w:i/>
          <w:sz w:val="24"/>
          <w:szCs w:val="24"/>
        </w:rPr>
        <w:t>2. Managerial interests incentivizing deviations from share value maximization</w:t>
      </w:r>
      <w:r w:rsidR="00796064">
        <w:rPr>
          <w:rFonts w:ascii="Times New Roman" w:hAnsi="Times New Roman" w:cs="Times New Roman"/>
          <w:i/>
          <w:sz w:val="24"/>
          <w:szCs w:val="24"/>
        </w:rPr>
        <w:t xml:space="preserve">. </w:t>
      </w:r>
      <w:r w:rsidRPr="005E3083">
        <w:rPr>
          <w:rFonts w:ascii="Times New Roman" w:hAnsi="Times New Roman" w:cs="Times New Roman"/>
          <w:sz w:val="24"/>
          <w:szCs w:val="24"/>
        </w:rPr>
        <w:t xml:space="preserve">On the other hand, the existence of these two </w:t>
      </w:r>
      <w:r w:rsidR="00257257">
        <w:rPr>
          <w:rFonts w:ascii="Times New Roman" w:hAnsi="Times New Roman" w:cs="Times New Roman"/>
          <w:sz w:val="24"/>
          <w:szCs w:val="24"/>
        </w:rPr>
        <w:t xml:space="preserve">more other regarding </w:t>
      </w:r>
      <w:r w:rsidRPr="005E3083">
        <w:rPr>
          <w:rFonts w:ascii="Times New Roman" w:hAnsi="Times New Roman" w:cs="Times New Roman"/>
          <w:sz w:val="24"/>
          <w:szCs w:val="24"/>
        </w:rPr>
        <w:t xml:space="preserve">potential benefits – reputation and a sense of doing good – derive from interests that may sometimes favor </w:t>
      </w:r>
      <w:r w:rsidR="00960684">
        <w:rPr>
          <w:rFonts w:ascii="Times New Roman" w:hAnsi="Times New Roman" w:cs="Times New Roman"/>
          <w:sz w:val="24"/>
          <w:szCs w:val="24"/>
        </w:rPr>
        <w:t xml:space="preserve">managerial </w:t>
      </w:r>
      <w:r w:rsidRPr="005E3083">
        <w:rPr>
          <w:rFonts w:ascii="Times New Roman" w:hAnsi="Times New Roman" w:cs="Times New Roman"/>
          <w:sz w:val="24"/>
          <w:szCs w:val="24"/>
        </w:rPr>
        <w:t xml:space="preserve">decisions consistent with the preferences of shareholders favoring deviations from sale value maximization. </w:t>
      </w:r>
    </w:p>
    <w:p w14:paraId="2B0304E5" w14:textId="59D5472B" w:rsidR="009F3E7E" w:rsidRPr="005E3083" w:rsidRDefault="009F3E7E" w:rsidP="00F355E2">
      <w:pPr>
        <w:spacing w:after="0" w:line="480" w:lineRule="auto"/>
        <w:jc w:val="both"/>
        <w:rPr>
          <w:rFonts w:ascii="Times New Roman" w:hAnsi="Times New Roman" w:cs="Times New Roman"/>
          <w:sz w:val="24"/>
          <w:szCs w:val="24"/>
        </w:rPr>
      </w:pPr>
      <w:r w:rsidRPr="005E3083">
        <w:rPr>
          <w:rFonts w:ascii="Times New Roman" w:hAnsi="Times New Roman" w:cs="Times New Roman"/>
          <w:sz w:val="24"/>
          <w:szCs w:val="24"/>
        </w:rPr>
        <w:tab/>
        <w:t xml:space="preserve">The question explored below, though, is whether, even if they have parallel preferences, the existence of shareholders with such preferences makes any significant difference in the likelihood that managers will act based on these </w:t>
      </w:r>
      <w:r w:rsidR="00257257">
        <w:rPr>
          <w:rFonts w:ascii="Times New Roman" w:hAnsi="Times New Roman" w:cs="Times New Roman"/>
          <w:sz w:val="24"/>
          <w:szCs w:val="24"/>
        </w:rPr>
        <w:t xml:space="preserve">more other regarding </w:t>
      </w:r>
      <w:r w:rsidRPr="005E3083">
        <w:rPr>
          <w:rFonts w:ascii="Times New Roman" w:hAnsi="Times New Roman" w:cs="Times New Roman"/>
          <w:sz w:val="24"/>
          <w:szCs w:val="24"/>
        </w:rPr>
        <w:t>interests</w:t>
      </w:r>
      <w:r w:rsidR="00796064">
        <w:rPr>
          <w:rFonts w:ascii="Times New Roman" w:hAnsi="Times New Roman" w:cs="Times New Roman"/>
          <w:sz w:val="24"/>
          <w:szCs w:val="24"/>
        </w:rPr>
        <w:t xml:space="preserve">. </w:t>
      </w:r>
      <w:r w:rsidR="00960684">
        <w:rPr>
          <w:rFonts w:ascii="Times New Roman" w:hAnsi="Times New Roman" w:cs="Times New Roman"/>
          <w:sz w:val="24"/>
          <w:szCs w:val="24"/>
        </w:rPr>
        <w:t>Based on</w:t>
      </w:r>
      <w:r w:rsidRPr="005E3083">
        <w:rPr>
          <w:rFonts w:ascii="Times New Roman" w:hAnsi="Times New Roman" w:cs="Times New Roman"/>
          <w:sz w:val="24"/>
          <w:szCs w:val="24"/>
        </w:rPr>
        <w:t xml:space="preserve"> these interests, the managers of some corporations may cause them to behave in ways that modestly deviate from share value maximization</w:t>
      </w:r>
      <w:r w:rsidR="00960684">
        <w:rPr>
          <w:rFonts w:ascii="Times New Roman" w:hAnsi="Times New Roman" w:cs="Times New Roman"/>
          <w:sz w:val="24"/>
          <w:szCs w:val="24"/>
        </w:rPr>
        <w:t>.</w:t>
      </w:r>
      <w:r w:rsidRPr="005E3083">
        <w:rPr>
          <w:rFonts w:ascii="Times New Roman" w:hAnsi="Times New Roman" w:cs="Times New Roman"/>
          <w:sz w:val="24"/>
          <w:szCs w:val="24"/>
        </w:rPr>
        <w:t xml:space="preserve"> </w:t>
      </w:r>
      <w:r w:rsidR="00B16C0B">
        <w:rPr>
          <w:rFonts w:ascii="Times New Roman" w:hAnsi="Times New Roman" w:cs="Times New Roman"/>
          <w:sz w:val="24"/>
          <w:szCs w:val="24"/>
        </w:rPr>
        <w:t>T</w:t>
      </w:r>
      <w:r w:rsidRPr="005E3083">
        <w:rPr>
          <w:rFonts w:ascii="Times New Roman" w:hAnsi="Times New Roman" w:cs="Times New Roman"/>
          <w:sz w:val="24"/>
          <w:szCs w:val="24"/>
        </w:rPr>
        <w:t xml:space="preserve">his may </w:t>
      </w:r>
      <w:r w:rsidR="00B16C0B">
        <w:rPr>
          <w:rFonts w:ascii="Times New Roman" w:hAnsi="Times New Roman" w:cs="Times New Roman"/>
          <w:sz w:val="24"/>
          <w:szCs w:val="24"/>
        </w:rPr>
        <w:t xml:space="preserve">occur, however, </w:t>
      </w:r>
      <w:r w:rsidRPr="005E3083">
        <w:rPr>
          <w:rFonts w:ascii="Times New Roman" w:hAnsi="Times New Roman" w:cs="Times New Roman"/>
          <w:sz w:val="24"/>
          <w:szCs w:val="24"/>
        </w:rPr>
        <w:t xml:space="preserve">simply because the incentive </w:t>
      </w:r>
      <w:r w:rsidRPr="005E3083">
        <w:rPr>
          <w:rFonts w:ascii="Times New Roman" w:hAnsi="Times New Roman" w:cs="Times New Roman"/>
          <w:sz w:val="24"/>
          <w:szCs w:val="24"/>
        </w:rPr>
        <w:lastRenderedPageBreak/>
        <w:t>structure within which they work gives them room to do so</w:t>
      </w:r>
      <w:r w:rsidR="00796064">
        <w:rPr>
          <w:rFonts w:ascii="Times New Roman" w:hAnsi="Times New Roman" w:cs="Times New Roman"/>
          <w:sz w:val="24"/>
          <w:szCs w:val="24"/>
        </w:rPr>
        <w:t xml:space="preserve">. </w:t>
      </w:r>
      <w:r w:rsidR="00E37C89">
        <w:rPr>
          <w:rFonts w:ascii="Times New Roman" w:hAnsi="Times New Roman" w:cs="Times New Roman"/>
          <w:sz w:val="24"/>
          <w:szCs w:val="24"/>
        </w:rPr>
        <w:t>In other words</w:t>
      </w:r>
      <w:r w:rsidRPr="005E3083">
        <w:rPr>
          <w:rFonts w:ascii="Times New Roman" w:hAnsi="Times New Roman" w:cs="Times New Roman"/>
          <w:sz w:val="24"/>
          <w:szCs w:val="24"/>
        </w:rPr>
        <w:t xml:space="preserve">, they would </w:t>
      </w:r>
      <w:r w:rsidR="00E37C89">
        <w:rPr>
          <w:rFonts w:ascii="Times New Roman" w:hAnsi="Times New Roman" w:cs="Times New Roman"/>
          <w:sz w:val="24"/>
          <w:szCs w:val="24"/>
        </w:rPr>
        <w:t xml:space="preserve">have deviated </w:t>
      </w:r>
      <w:r w:rsidRPr="005E3083">
        <w:rPr>
          <w:rFonts w:ascii="Times New Roman" w:hAnsi="Times New Roman" w:cs="Times New Roman"/>
          <w:sz w:val="24"/>
          <w:szCs w:val="24"/>
        </w:rPr>
        <w:t xml:space="preserve">whether </w:t>
      </w:r>
      <w:r w:rsidR="00B16C0B">
        <w:rPr>
          <w:rFonts w:ascii="Times New Roman" w:hAnsi="Times New Roman" w:cs="Times New Roman"/>
          <w:sz w:val="24"/>
          <w:szCs w:val="24"/>
        </w:rPr>
        <w:t xml:space="preserve">or not the corporation had shareholders with </w:t>
      </w:r>
      <w:r w:rsidRPr="005E3083">
        <w:rPr>
          <w:rFonts w:ascii="Times New Roman" w:hAnsi="Times New Roman" w:cs="Times New Roman"/>
          <w:sz w:val="24"/>
          <w:szCs w:val="24"/>
        </w:rPr>
        <w:t>such</w:t>
      </w:r>
      <w:r w:rsidR="00B16C0B">
        <w:rPr>
          <w:rFonts w:ascii="Times New Roman" w:hAnsi="Times New Roman" w:cs="Times New Roman"/>
          <w:sz w:val="24"/>
          <w:szCs w:val="24"/>
        </w:rPr>
        <w:t xml:space="preserve"> profit sacrificing preferences</w:t>
      </w:r>
      <w:r w:rsidR="00632996">
        <w:rPr>
          <w:rFonts w:ascii="Times New Roman" w:hAnsi="Times New Roman" w:cs="Times New Roman"/>
          <w:sz w:val="24"/>
          <w:szCs w:val="24"/>
        </w:rPr>
        <w:t xml:space="preserve">. </w:t>
      </w:r>
      <w:r w:rsidR="00B16C0B">
        <w:rPr>
          <w:rFonts w:ascii="Times New Roman" w:hAnsi="Times New Roman" w:cs="Times New Roman"/>
          <w:sz w:val="24"/>
          <w:szCs w:val="24"/>
        </w:rPr>
        <w:t xml:space="preserve">Having said this, </w:t>
      </w:r>
      <w:r w:rsidRPr="005E3083">
        <w:rPr>
          <w:rFonts w:ascii="Times New Roman" w:hAnsi="Times New Roman" w:cs="Times New Roman"/>
          <w:sz w:val="24"/>
          <w:szCs w:val="24"/>
        </w:rPr>
        <w:t xml:space="preserve">as we explore below, </w:t>
      </w:r>
      <w:r w:rsidR="00B16C0B">
        <w:rPr>
          <w:rFonts w:ascii="Times New Roman" w:hAnsi="Times New Roman" w:cs="Times New Roman"/>
          <w:sz w:val="24"/>
          <w:szCs w:val="24"/>
        </w:rPr>
        <w:t xml:space="preserve">it is possible that a significant bloc of shareholders with </w:t>
      </w:r>
      <w:r w:rsidRPr="005E3083">
        <w:rPr>
          <w:rFonts w:ascii="Times New Roman" w:hAnsi="Times New Roman" w:cs="Times New Roman"/>
          <w:sz w:val="24"/>
          <w:szCs w:val="24"/>
        </w:rPr>
        <w:t>such preferences may make a manager feel that her reputation will be enhanced more by undertaking the deviation</w:t>
      </w:r>
      <w:r w:rsidR="00B16C0B">
        <w:rPr>
          <w:rFonts w:ascii="Times New Roman" w:hAnsi="Times New Roman" w:cs="Times New Roman"/>
          <w:sz w:val="24"/>
          <w:szCs w:val="24"/>
        </w:rPr>
        <w:t xml:space="preserve"> than if there were no such shareholders.</w:t>
      </w:r>
      <w:r w:rsidRPr="005E3083">
        <w:rPr>
          <w:rFonts w:ascii="Times New Roman" w:hAnsi="Times New Roman" w:cs="Times New Roman"/>
          <w:sz w:val="24"/>
          <w:szCs w:val="24"/>
        </w:rPr>
        <w:t xml:space="preserve"> </w:t>
      </w:r>
    </w:p>
    <w:p w14:paraId="2DDF8422" w14:textId="6170695A" w:rsidR="009F3E7E" w:rsidRPr="005E3083" w:rsidRDefault="009F3E7E" w:rsidP="00F355E2">
      <w:pPr>
        <w:spacing w:after="0" w:line="480" w:lineRule="auto"/>
        <w:jc w:val="both"/>
        <w:rPr>
          <w:rFonts w:ascii="Times New Roman" w:hAnsi="Times New Roman" w:cs="Times New Roman"/>
          <w:sz w:val="24"/>
          <w:szCs w:val="24"/>
        </w:rPr>
      </w:pPr>
      <w:r w:rsidRPr="005E3083">
        <w:rPr>
          <w:rFonts w:ascii="Times New Roman" w:hAnsi="Times New Roman" w:cs="Times New Roman"/>
          <w:sz w:val="24"/>
          <w:szCs w:val="24"/>
        </w:rPr>
        <w:tab/>
        <w:t xml:space="preserve">It is worth noting that, ironically, the </w:t>
      </w:r>
      <w:r w:rsidR="001B4C7A">
        <w:rPr>
          <w:rFonts w:ascii="Times New Roman" w:hAnsi="Times New Roman" w:cs="Times New Roman"/>
          <w:sz w:val="24"/>
          <w:szCs w:val="24"/>
        </w:rPr>
        <w:t xml:space="preserve">previous </w:t>
      </w:r>
      <w:r w:rsidRPr="005E3083">
        <w:rPr>
          <w:rFonts w:ascii="Times New Roman" w:hAnsi="Times New Roman" w:cs="Times New Roman"/>
          <w:sz w:val="24"/>
          <w:szCs w:val="24"/>
        </w:rPr>
        <w:t xml:space="preserve">heyday of enthusiasm for managers </w:t>
      </w:r>
      <w:r w:rsidR="00257257">
        <w:rPr>
          <w:rFonts w:ascii="Times New Roman" w:hAnsi="Times New Roman" w:cs="Times New Roman"/>
          <w:sz w:val="24"/>
          <w:szCs w:val="24"/>
        </w:rPr>
        <w:t xml:space="preserve">pursuing these more other regarding interests </w:t>
      </w:r>
      <w:r w:rsidRPr="005E3083">
        <w:rPr>
          <w:rFonts w:ascii="Times New Roman" w:hAnsi="Times New Roman" w:cs="Times New Roman"/>
          <w:sz w:val="24"/>
          <w:szCs w:val="24"/>
        </w:rPr>
        <w:t>goes back many decades to a time when the assumption among academic commentators was that shareholders had little or no influence and that managers of large public corporations were largely unconstrained.</w:t>
      </w:r>
      <w:r w:rsidRPr="005E3083">
        <w:rPr>
          <w:rStyle w:val="FootnoteReference"/>
          <w:rFonts w:ascii="Times New Roman" w:hAnsi="Times New Roman" w:cs="Times New Roman"/>
          <w:sz w:val="24"/>
          <w:szCs w:val="24"/>
        </w:rPr>
        <w:footnoteReference w:id="35"/>
      </w:r>
    </w:p>
    <w:p w14:paraId="1D0AD369" w14:textId="77777777" w:rsidR="009F3E7E" w:rsidRPr="005E3083" w:rsidRDefault="009F3E7E" w:rsidP="00F355E2">
      <w:pPr>
        <w:pStyle w:val="ListParagraph"/>
        <w:numPr>
          <w:ilvl w:val="0"/>
          <w:numId w:val="4"/>
        </w:numPr>
        <w:spacing w:after="0" w:line="480" w:lineRule="auto"/>
        <w:jc w:val="center"/>
        <w:rPr>
          <w:rFonts w:cs="Times New Roman"/>
          <w:i/>
          <w:sz w:val="24"/>
          <w:szCs w:val="24"/>
        </w:rPr>
      </w:pPr>
      <w:r w:rsidRPr="005E3083">
        <w:rPr>
          <w:rFonts w:cs="Times New Roman"/>
          <w:i/>
          <w:sz w:val="24"/>
          <w:szCs w:val="24"/>
        </w:rPr>
        <w:t>The Shareholder Franchise</w:t>
      </w:r>
    </w:p>
    <w:p w14:paraId="66591680" w14:textId="0F6A38A4" w:rsidR="009F3E7E" w:rsidRPr="005E3083" w:rsidRDefault="009F3E7E" w:rsidP="00F355E2">
      <w:pPr>
        <w:spacing w:after="0" w:line="480" w:lineRule="auto"/>
        <w:jc w:val="both"/>
        <w:rPr>
          <w:rFonts w:ascii="Times New Roman" w:hAnsi="Times New Roman" w:cs="Times New Roman"/>
          <w:sz w:val="24"/>
          <w:szCs w:val="24"/>
        </w:rPr>
      </w:pPr>
      <w:r w:rsidRPr="005E3083">
        <w:rPr>
          <w:rFonts w:ascii="Times New Roman" w:hAnsi="Times New Roman" w:cs="Times New Roman"/>
          <w:sz w:val="24"/>
          <w:szCs w:val="24"/>
        </w:rPr>
        <w:tab/>
        <w:t xml:space="preserve">Under current corporate </w:t>
      </w:r>
      <w:r w:rsidR="005A4739">
        <w:rPr>
          <w:rFonts w:ascii="Times New Roman" w:hAnsi="Times New Roman" w:cs="Times New Roman"/>
          <w:sz w:val="24"/>
          <w:szCs w:val="24"/>
        </w:rPr>
        <w:t xml:space="preserve">governance arrangements, </w:t>
      </w:r>
      <w:r w:rsidRPr="005E3083">
        <w:rPr>
          <w:rFonts w:ascii="Times New Roman" w:hAnsi="Times New Roman" w:cs="Times New Roman"/>
          <w:sz w:val="24"/>
          <w:szCs w:val="24"/>
        </w:rPr>
        <w:t xml:space="preserve">shareholders cannot vote on individual business decisions. They do, however, vote for the directors who, directly or through the executives they appoint, make these individual business decisions. Thus, in principle, if a majority of </w:t>
      </w:r>
      <w:r w:rsidR="003E6B0C">
        <w:rPr>
          <w:rFonts w:ascii="Times New Roman" w:hAnsi="Times New Roman" w:cs="Times New Roman"/>
          <w:sz w:val="24"/>
          <w:szCs w:val="24"/>
        </w:rPr>
        <w:t xml:space="preserve">a corporation’s </w:t>
      </w:r>
      <w:r w:rsidRPr="005E3083">
        <w:rPr>
          <w:rFonts w:ascii="Times New Roman" w:hAnsi="Times New Roman" w:cs="Times New Roman"/>
          <w:sz w:val="24"/>
          <w:szCs w:val="24"/>
        </w:rPr>
        <w:t xml:space="preserve">shareholders prefer some deviation from share value maximization for reasons relating to any of the </w:t>
      </w:r>
      <w:r w:rsidR="005A4739">
        <w:rPr>
          <w:rFonts w:ascii="Times New Roman" w:hAnsi="Times New Roman" w:cs="Times New Roman"/>
          <w:sz w:val="24"/>
          <w:szCs w:val="24"/>
        </w:rPr>
        <w:t>three</w:t>
      </w:r>
      <w:r w:rsidRPr="005E3083">
        <w:rPr>
          <w:rFonts w:ascii="Times New Roman" w:hAnsi="Times New Roman" w:cs="Times New Roman"/>
          <w:sz w:val="24"/>
          <w:szCs w:val="24"/>
        </w:rPr>
        <w:t xml:space="preserve"> categories of preference differences delineated above, the board</w:t>
      </w:r>
      <w:r w:rsidR="0065534E">
        <w:rPr>
          <w:rFonts w:ascii="Times New Roman" w:hAnsi="Times New Roman" w:cs="Times New Roman"/>
          <w:sz w:val="24"/>
          <w:szCs w:val="24"/>
        </w:rPr>
        <w:t xml:space="preserve">, either to honor a pledge made to get elected or to enhance its chances of being reelected, might </w:t>
      </w:r>
      <w:r w:rsidR="0025741D">
        <w:rPr>
          <w:rFonts w:ascii="Times New Roman" w:hAnsi="Times New Roman" w:cs="Times New Roman"/>
          <w:sz w:val="24"/>
          <w:szCs w:val="24"/>
        </w:rPr>
        <w:t xml:space="preserve">cause </w:t>
      </w:r>
      <w:r w:rsidR="0065534E">
        <w:rPr>
          <w:rFonts w:ascii="Times New Roman" w:hAnsi="Times New Roman" w:cs="Times New Roman"/>
          <w:sz w:val="24"/>
          <w:szCs w:val="24"/>
        </w:rPr>
        <w:t xml:space="preserve">the corporation </w:t>
      </w:r>
      <w:r w:rsidR="0025741D">
        <w:rPr>
          <w:rFonts w:ascii="Times New Roman" w:hAnsi="Times New Roman" w:cs="Times New Roman"/>
          <w:sz w:val="24"/>
          <w:szCs w:val="24"/>
        </w:rPr>
        <w:t xml:space="preserve">to </w:t>
      </w:r>
      <w:r w:rsidR="0065534E">
        <w:rPr>
          <w:rFonts w:ascii="Times New Roman" w:hAnsi="Times New Roman" w:cs="Times New Roman"/>
          <w:sz w:val="24"/>
          <w:szCs w:val="24"/>
        </w:rPr>
        <w:t xml:space="preserve">behave accordingly. </w:t>
      </w:r>
      <w:r w:rsidR="0025741D">
        <w:rPr>
          <w:rFonts w:ascii="Times New Roman" w:hAnsi="Times New Roman" w:cs="Times New Roman"/>
          <w:sz w:val="24"/>
          <w:szCs w:val="24"/>
        </w:rPr>
        <w:t xml:space="preserve"> </w:t>
      </w:r>
      <w:r w:rsidR="0065534E">
        <w:rPr>
          <w:rFonts w:ascii="Times New Roman" w:hAnsi="Times New Roman" w:cs="Times New Roman"/>
          <w:sz w:val="24"/>
          <w:szCs w:val="24"/>
        </w:rPr>
        <w:t xml:space="preserve">How often, </w:t>
      </w:r>
      <w:r w:rsidRPr="005E3083">
        <w:rPr>
          <w:rFonts w:ascii="Times New Roman" w:hAnsi="Times New Roman" w:cs="Times New Roman"/>
          <w:sz w:val="24"/>
          <w:szCs w:val="24"/>
        </w:rPr>
        <w:t xml:space="preserve">though, </w:t>
      </w:r>
      <w:r w:rsidR="0065534E">
        <w:rPr>
          <w:rFonts w:ascii="Times New Roman" w:hAnsi="Times New Roman" w:cs="Times New Roman"/>
          <w:sz w:val="24"/>
          <w:szCs w:val="24"/>
        </w:rPr>
        <w:t xml:space="preserve">does this </w:t>
      </w:r>
      <w:r w:rsidRPr="005E3083">
        <w:rPr>
          <w:rFonts w:ascii="Times New Roman" w:hAnsi="Times New Roman" w:cs="Times New Roman"/>
          <w:sz w:val="24"/>
          <w:szCs w:val="24"/>
        </w:rPr>
        <w:t xml:space="preserve">happen under our current </w:t>
      </w:r>
      <w:r w:rsidR="0065534E">
        <w:rPr>
          <w:rFonts w:ascii="Times New Roman" w:hAnsi="Times New Roman" w:cs="Times New Roman"/>
          <w:sz w:val="24"/>
          <w:szCs w:val="24"/>
        </w:rPr>
        <w:t xml:space="preserve">formal structure of corporate governance, where the shareholder mandate is largely confined to electing directors, </w:t>
      </w:r>
      <w:r w:rsidRPr="005E3083">
        <w:rPr>
          <w:rFonts w:ascii="Times New Roman" w:hAnsi="Times New Roman" w:cs="Times New Roman"/>
          <w:sz w:val="24"/>
          <w:szCs w:val="24"/>
        </w:rPr>
        <w:t>and</w:t>
      </w:r>
      <w:r w:rsidR="0065534E">
        <w:rPr>
          <w:rFonts w:ascii="Times New Roman" w:hAnsi="Times New Roman" w:cs="Times New Roman"/>
          <w:sz w:val="24"/>
          <w:szCs w:val="24"/>
        </w:rPr>
        <w:t xml:space="preserve"> </w:t>
      </w:r>
      <w:r w:rsidRPr="005E3083">
        <w:rPr>
          <w:rFonts w:ascii="Times New Roman" w:hAnsi="Times New Roman" w:cs="Times New Roman"/>
          <w:sz w:val="24"/>
          <w:szCs w:val="24"/>
        </w:rPr>
        <w:t xml:space="preserve">should that structure be reformed so that it happens more? </w:t>
      </w:r>
    </w:p>
    <w:p w14:paraId="02C10FC9" w14:textId="790BB3F5" w:rsidR="009F3E7E" w:rsidRPr="005E3083" w:rsidRDefault="009F3E7E" w:rsidP="00F355E2">
      <w:pPr>
        <w:spacing w:after="0" w:line="480" w:lineRule="auto"/>
        <w:jc w:val="both"/>
        <w:rPr>
          <w:rFonts w:ascii="Times New Roman" w:hAnsi="Times New Roman" w:cs="Times New Roman"/>
          <w:sz w:val="24"/>
          <w:szCs w:val="24"/>
        </w:rPr>
      </w:pPr>
      <w:r w:rsidRPr="005E3083">
        <w:rPr>
          <w:rFonts w:ascii="Times New Roman" w:hAnsi="Times New Roman" w:cs="Times New Roman"/>
          <w:sz w:val="24"/>
          <w:szCs w:val="24"/>
        </w:rPr>
        <w:lastRenderedPageBreak/>
        <w:tab/>
      </w:r>
      <w:r w:rsidRPr="005E3083">
        <w:rPr>
          <w:rFonts w:ascii="Times New Roman" w:hAnsi="Times New Roman" w:cs="Times New Roman"/>
          <w:i/>
          <w:sz w:val="24"/>
          <w:szCs w:val="24"/>
        </w:rPr>
        <w:t>1. The extent to which the franchise leads managers to make non-share-value-maximizing decisions to further market imperfection correcting or distributive (</w:t>
      </w:r>
      <w:r w:rsidR="00580A87">
        <w:rPr>
          <w:rFonts w:ascii="Times New Roman" w:hAnsi="Times New Roman" w:cs="Times New Roman"/>
          <w:i/>
          <w:sz w:val="24"/>
          <w:szCs w:val="24"/>
        </w:rPr>
        <w:t>together</w:t>
      </w:r>
      <w:r w:rsidRPr="005E3083">
        <w:rPr>
          <w:rFonts w:ascii="Times New Roman" w:hAnsi="Times New Roman" w:cs="Times New Roman"/>
          <w:i/>
          <w:sz w:val="24"/>
          <w:szCs w:val="24"/>
        </w:rPr>
        <w:t xml:space="preserve">., “socially oriented”) goals. </w:t>
      </w:r>
      <w:r w:rsidRPr="005E3083">
        <w:rPr>
          <w:rFonts w:ascii="Times New Roman" w:hAnsi="Times New Roman" w:cs="Times New Roman"/>
          <w:sz w:val="24"/>
          <w:szCs w:val="24"/>
        </w:rPr>
        <w:t>In recent years, we have seen investment funds and other institutional investors stressing, with more or less specificity, the need for environmentally and socially conscious corporate behavior, and in parallel we see many corporations pledging themselves to behave in these ways. In the last few years, there have also been a number of examples of a majority of a corporation’s shares being voted, pursuant to the Exchange Act’s Rule 14a-8, in favor of a precatory resolution in effect urging management to direct their corporations to behave in various socially oriented ways.</w:t>
      </w:r>
      <w:r w:rsidRPr="005E3083">
        <w:rPr>
          <w:rStyle w:val="FootnoteReference"/>
          <w:rFonts w:ascii="Times New Roman" w:hAnsi="Times New Roman" w:cs="Times New Roman"/>
          <w:sz w:val="24"/>
          <w:szCs w:val="24"/>
        </w:rPr>
        <w:footnoteReference w:id="36"/>
      </w:r>
      <w:r w:rsidRPr="005E3083">
        <w:rPr>
          <w:rFonts w:ascii="Times New Roman" w:hAnsi="Times New Roman" w:cs="Times New Roman"/>
          <w:sz w:val="24"/>
          <w:szCs w:val="24"/>
        </w:rPr>
        <w:t xml:space="preserve"> </w:t>
      </w:r>
    </w:p>
    <w:p w14:paraId="438738FB" w14:textId="333DFB5A" w:rsidR="009F3E7E" w:rsidRPr="005E3083" w:rsidRDefault="009F3E7E" w:rsidP="00F355E2">
      <w:pPr>
        <w:spacing w:after="0" w:line="480" w:lineRule="auto"/>
        <w:jc w:val="both"/>
        <w:rPr>
          <w:rFonts w:ascii="Times New Roman" w:hAnsi="Times New Roman" w:cs="Times New Roman"/>
          <w:sz w:val="24"/>
          <w:szCs w:val="24"/>
        </w:rPr>
      </w:pPr>
      <w:r w:rsidRPr="005E3083">
        <w:rPr>
          <w:rFonts w:ascii="Times New Roman" w:hAnsi="Times New Roman" w:cs="Times New Roman"/>
          <w:sz w:val="24"/>
          <w:szCs w:val="24"/>
        </w:rPr>
        <w:tab/>
        <w:t xml:space="preserve">A few factors, though, make us skeptical that the shareholder franchise has resulted in any major socially-directed deviations from share value maximization. To start, most calls by </w:t>
      </w:r>
      <w:r w:rsidR="003678A7">
        <w:rPr>
          <w:rFonts w:ascii="Times New Roman" w:hAnsi="Times New Roman" w:cs="Times New Roman"/>
          <w:sz w:val="24"/>
          <w:szCs w:val="24"/>
        </w:rPr>
        <w:t xml:space="preserve">equity </w:t>
      </w:r>
      <w:r w:rsidRPr="005E3083">
        <w:rPr>
          <w:rFonts w:ascii="Times New Roman" w:hAnsi="Times New Roman" w:cs="Times New Roman"/>
          <w:sz w:val="24"/>
          <w:szCs w:val="24"/>
        </w:rPr>
        <w:t>investors, and pledges by corporations, to behave in a socially oriented way have been articulated as enhancing, not deviating from, share value maximization. Typically, the suggestion is that whatever would be lost in short term profits would be more than compensated for by an increase in longer term profits discounted to present value.</w:t>
      </w:r>
      <w:r w:rsidRPr="005E3083">
        <w:rPr>
          <w:rStyle w:val="FootnoteReference"/>
          <w:rFonts w:ascii="Times New Roman" w:hAnsi="Times New Roman" w:cs="Times New Roman"/>
          <w:sz w:val="24"/>
          <w:szCs w:val="24"/>
        </w:rPr>
        <w:footnoteReference w:id="37"/>
      </w:r>
      <w:r w:rsidRPr="005E3083">
        <w:rPr>
          <w:rFonts w:ascii="Times New Roman" w:hAnsi="Times New Roman" w:cs="Times New Roman"/>
          <w:sz w:val="24"/>
          <w:szCs w:val="24"/>
        </w:rPr>
        <w:t xml:space="preserve">  </w:t>
      </w:r>
    </w:p>
    <w:p w14:paraId="35A1E069" w14:textId="1E1EF3C0" w:rsidR="009F3E7E" w:rsidRPr="005E3083" w:rsidRDefault="009F3E7E" w:rsidP="00F355E2">
      <w:pPr>
        <w:spacing w:after="0" w:line="480" w:lineRule="auto"/>
        <w:jc w:val="both"/>
        <w:rPr>
          <w:rFonts w:ascii="Times New Roman" w:hAnsi="Times New Roman" w:cs="Times New Roman"/>
          <w:sz w:val="24"/>
          <w:szCs w:val="24"/>
        </w:rPr>
      </w:pPr>
      <w:r w:rsidRPr="005E3083">
        <w:rPr>
          <w:rFonts w:ascii="Times New Roman" w:hAnsi="Times New Roman" w:cs="Times New Roman"/>
          <w:sz w:val="24"/>
          <w:szCs w:val="24"/>
        </w:rPr>
        <w:tab/>
        <w:t xml:space="preserve">Indeed, to our knowledge, there has been no </w:t>
      </w:r>
      <w:r w:rsidR="003678A7">
        <w:rPr>
          <w:rFonts w:ascii="Times New Roman" w:hAnsi="Times New Roman" w:cs="Times New Roman"/>
          <w:sz w:val="24"/>
          <w:szCs w:val="24"/>
        </w:rPr>
        <w:t xml:space="preserve">successful </w:t>
      </w:r>
      <w:r w:rsidRPr="005E3083">
        <w:rPr>
          <w:rFonts w:ascii="Times New Roman" w:hAnsi="Times New Roman" w:cs="Times New Roman"/>
          <w:sz w:val="24"/>
          <w:szCs w:val="24"/>
        </w:rPr>
        <w:t xml:space="preserve">proxy fight or other effort to influence the composition of any corporate board based on a promise to implement a change for </w:t>
      </w:r>
      <w:r w:rsidRPr="005E3083">
        <w:rPr>
          <w:rFonts w:ascii="Times New Roman" w:hAnsi="Times New Roman" w:cs="Times New Roman"/>
          <w:sz w:val="24"/>
          <w:szCs w:val="24"/>
        </w:rPr>
        <w:lastRenderedPageBreak/>
        <w:t xml:space="preserve">social ends where the proponents state that share value will </w:t>
      </w:r>
      <w:r w:rsidR="003678A7">
        <w:rPr>
          <w:rFonts w:ascii="Times New Roman" w:hAnsi="Times New Roman" w:cs="Times New Roman"/>
          <w:sz w:val="24"/>
          <w:szCs w:val="24"/>
        </w:rPr>
        <w:t xml:space="preserve">likely </w:t>
      </w:r>
      <w:r w:rsidRPr="005E3083">
        <w:rPr>
          <w:rFonts w:ascii="Times New Roman" w:hAnsi="Times New Roman" w:cs="Times New Roman"/>
          <w:sz w:val="24"/>
          <w:szCs w:val="24"/>
        </w:rPr>
        <w:t>decrease as a result</w:t>
      </w:r>
      <w:r w:rsidR="00796064">
        <w:rPr>
          <w:rFonts w:ascii="Times New Roman" w:hAnsi="Times New Roman" w:cs="Times New Roman"/>
          <w:sz w:val="24"/>
          <w:szCs w:val="24"/>
        </w:rPr>
        <w:t>.</w:t>
      </w:r>
      <w:bookmarkStart w:id="11" w:name="_Ref180703604"/>
      <w:r w:rsidR="005B17E0">
        <w:rPr>
          <w:rStyle w:val="FootnoteReference"/>
          <w:rFonts w:ascii="Times New Roman" w:hAnsi="Times New Roman" w:cs="Times New Roman"/>
          <w:sz w:val="24"/>
          <w:szCs w:val="24"/>
        </w:rPr>
        <w:footnoteReference w:id="38"/>
      </w:r>
      <w:bookmarkEnd w:id="11"/>
      <w:r w:rsidR="00796064">
        <w:rPr>
          <w:rFonts w:ascii="Times New Roman" w:hAnsi="Times New Roman" w:cs="Times New Roman"/>
          <w:sz w:val="24"/>
          <w:szCs w:val="24"/>
        </w:rPr>
        <w:t xml:space="preserve"> </w:t>
      </w:r>
      <w:r w:rsidRPr="005E3083">
        <w:rPr>
          <w:rFonts w:ascii="Times New Roman" w:hAnsi="Times New Roman" w:cs="Times New Roman"/>
          <w:sz w:val="24"/>
          <w:szCs w:val="24"/>
        </w:rPr>
        <w:t xml:space="preserve">The absence of any such efforts at a minimum suggests that the existing incentive structure within which management acts does not include any kind of threat of job loss if they fail to implement socially-oriented policies that </w:t>
      </w:r>
      <w:r w:rsidR="00AC33CF">
        <w:rPr>
          <w:rFonts w:ascii="Times New Roman" w:hAnsi="Times New Roman" w:cs="Times New Roman"/>
          <w:sz w:val="24"/>
          <w:szCs w:val="24"/>
        </w:rPr>
        <w:t xml:space="preserve">an </w:t>
      </w:r>
      <w:r w:rsidRPr="005E3083">
        <w:rPr>
          <w:rFonts w:ascii="Times New Roman" w:hAnsi="Times New Roman" w:cs="Times New Roman"/>
          <w:sz w:val="24"/>
          <w:szCs w:val="24"/>
        </w:rPr>
        <w:t>accurate</w:t>
      </w:r>
      <w:r w:rsidR="00AC33CF">
        <w:rPr>
          <w:rFonts w:ascii="Times New Roman" w:hAnsi="Times New Roman" w:cs="Times New Roman"/>
          <w:sz w:val="24"/>
          <w:szCs w:val="24"/>
        </w:rPr>
        <w:t xml:space="preserve"> assessment would identify </w:t>
      </w:r>
      <w:r w:rsidRPr="005E3083">
        <w:rPr>
          <w:rFonts w:ascii="Times New Roman" w:hAnsi="Times New Roman" w:cs="Times New Roman"/>
          <w:sz w:val="24"/>
          <w:szCs w:val="24"/>
        </w:rPr>
        <w:t>as share value reducing.</w:t>
      </w:r>
      <w:r w:rsidR="009F37DD">
        <w:rPr>
          <w:rFonts w:ascii="Times New Roman" w:hAnsi="Times New Roman" w:cs="Times New Roman"/>
          <w:sz w:val="24"/>
          <w:szCs w:val="24"/>
        </w:rPr>
        <w:t xml:space="preserve"> </w:t>
      </w:r>
      <w:r w:rsidRPr="005E3083">
        <w:rPr>
          <w:rFonts w:ascii="Times New Roman" w:hAnsi="Times New Roman" w:cs="Times New Roman"/>
          <w:sz w:val="24"/>
          <w:szCs w:val="24"/>
        </w:rPr>
        <w:t xml:space="preserve"> And it may suggest that there are in fact few if any corporations where the holders of a majority of their shares would favor a socially oriented change in behavior if it were share value diminishing.</w:t>
      </w:r>
    </w:p>
    <w:p w14:paraId="1E2AE3DA" w14:textId="14912C70" w:rsidR="009F3E7E" w:rsidRPr="005E3083" w:rsidRDefault="009F3E7E" w:rsidP="00F355E2">
      <w:pPr>
        <w:spacing w:after="0" w:line="480" w:lineRule="auto"/>
        <w:jc w:val="both"/>
        <w:rPr>
          <w:rFonts w:ascii="Times New Roman" w:hAnsi="Times New Roman" w:cs="Times New Roman"/>
          <w:sz w:val="24"/>
          <w:szCs w:val="24"/>
        </w:rPr>
      </w:pPr>
      <w:r w:rsidRPr="005E3083">
        <w:rPr>
          <w:rFonts w:ascii="Times New Roman" w:hAnsi="Times New Roman" w:cs="Times New Roman"/>
          <w:sz w:val="24"/>
          <w:szCs w:val="24"/>
        </w:rPr>
        <w:tab/>
      </w:r>
      <w:r w:rsidR="00B173C8">
        <w:rPr>
          <w:rFonts w:ascii="Times New Roman" w:hAnsi="Times New Roman" w:cs="Times New Roman"/>
          <w:sz w:val="24"/>
          <w:szCs w:val="24"/>
        </w:rPr>
        <w:t>I</w:t>
      </w:r>
      <w:r w:rsidR="00471E3F">
        <w:rPr>
          <w:rFonts w:ascii="Times New Roman" w:hAnsi="Times New Roman" w:cs="Times New Roman"/>
          <w:sz w:val="24"/>
          <w:szCs w:val="24"/>
        </w:rPr>
        <w:t>t should also be noted that</w:t>
      </w:r>
      <w:r w:rsidR="00B173C8">
        <w:rPr>
          <w:rFonts w:ascii="Times New Roman" w:hAnsi="Times New Roman" w:cs="Times New Roman"/>
          <w:sz w:val="24"/>
          <w:szCs w:val="24"/>
        </w:rPr>
        <w:t xml:space="preserve">, </w:t>
      </w:r>
      <w:r w:rsidRPr="005E3083">
        <w:rPr>
          <w:rFonts w:ascii="Times New Roman" w:hAnsi="Times New Roman" w:cs="Times New Roman"/>
          <w:sz w:val="24"/>
          <w:szCs w:val="24"/>
        </w:rPr>
        <w:t xml:space="preserve">in some cases at least, the changes favored by those voting for precatory resolutions </w:t>
      </w:r>
      <w:r w:rsidR="00471E3F">
        <w:rPr>
          <w:rFonts w:ascii="Times New Roman" w:hAnsi="Times New Roman" w:cs="Times New Roman"/>
          <w:sz w:val="24"/>
          <w:szCs w:val="24"/>
        </w:rPr>
        <w:t xml:space="preserve">were </w:t>
      </w:r>
      <w:r w:rsidR="00B173C8">
        <w:rPr>
          <w:rFonts w:ascii="Times New Roman" w:hAnsi="Times New Roman" w:cs="Times New Roman"/>
          <w:sz w:val="24"/>
          <w:szCs w:val="24"/>
        </w:rPr>
        <w:t xml:space="preserve">not only promoted as </w:t>
      </w:r>
      <w:r w:rsidRPr="005E3083">
        <w:rPr>
          <w:rFonts w:ascii="Times New Roman" w:hAnsi="Times New Roman" w:cs="Times New Roman"/>
          <w:sz w:val="24"/>
          <w:szCs w:val="24"/>
        </w:rPr>
        <w:t>share</w:t>
      </w:r>
      <w:r w:rsidR="00B173C8">
        <w:rPr>
          <w:rFonts w:ascii="Times New Roman" w:hAnsi="Times New Roman" w:cs="Times New Roman"/>
          <w:sz w:val="24"/>
          <w:szCs w:val="24"/>
        </w:rPr>
        <w:t>-</w:t>
      </w:r>
      <w:r w:rsidRPr="005E3083">
        <w:rPr>
          <w:rFonts w:ascii="Times New Roman" w:hAnsi="Times New Roman" w:cs="Times New Roman"/>
          <w:sz w:val="24"/>
          <w:szCs w:val="24"/>
        </w:rPr>
        <w:t>value</w:t>
      </w:r>
      <w:r w:rsidR="00B173C8">
        <w:rPr>
          <w:rFonts w:ascii="Times New Roman" w:hAnsi="Times New Roman" w:cs="Times New Roman"/>
          <w:sz w:val="24"/>
          <w:szCs w:val="24"/>
        </w:rPr>
        <w:t>-</w:t>
      </w:r>
      <w:r w:rsidRPr="005E3083">
        <w:rPr>
          <w:rFonts w:ascii="Times New Roman" w:hAnsi="Times New Roman" w:cs="Times New Roman"/>
          <w:sz w:val="24"/>
          <w:szCs w:val="24"/>
        </w:rPr>
        <w:t>enhancing</w:t>
      </w:r>
      <w:r w:rsidR="00B173C8">
        <w:rPr>
          <w:rFonts w:ascii="Times New Roman" w:hAnsi="Times New Roman" w:cs="Times New Roman"/>
          <w:sz w:val="24"/>
          <w:szCs w:val="24"/>
        </w:rPr>
        <w:t>, they may have been in fact</w:t>
      </w:r>
      <w:r w:rsidR="00796064">
        <w:rPr>
          <w:rFonts w:ascii="Times New Roman" w:hAnsi="Times New Roman" w:cs="Times New Roman"/>
          <w:sz w:val="24"/>
          <w:szCs w:val="24"/>
        </w:rPr>
        <w:t xml:space="preserve">. </w:t>
      </w:r>
      <w:r w:rsidRPr="005E3083">
        <w:rPr>
          <w:rFonts w:ascii="Times New Roman" w:hAnsi="Times New Roman" w:cs="Times New Roman"/>
          <w:sz w:val="24"/>
          <w:szCs w:val="24"/>
        </w:rPr>
        <w:t xml:space="preserve"> Although a corporation’s managers have very large information advantages relative to outsiders</w:t>
      </w:r>
      <w:r w:rsidR="00B173C8">
        <w:rPr>
          <w:rFonts w:ascii="Times New Roman" w:hAnsi="Times New Roman" w:cs="Times New Roman"/>
          <w:sz w:val="24"/>
          <w:szCs w:val="24"/>
        </w:rPr>
        <w:t xml:space="preserve"> and </w:t>
      </w:r>
      <w:r w:rsidR="009736AF">
        <w:rPr>
          <w:rFonts w:ascii="Times New Roman" w:hAnsi="Times New Roman" w:cs="Times New Roman"/>
          <w:sz w:val="24"/>
          <w:szCs w:val="24"/>
        </w:rPr>
        <w:t xml:space="preserve">have personal </w:t>
      </w:r>
      <w:r w:rsidR="00B173C8">
        <w:rPr>
          <w:rFonts w:ascii="Times New Roman" w:hAnsi="Times New Roman" w:cs="Times New Roman"/>
          <w:sz w:val="24"/>
          <w:szCs w:val="24"/>
        </w:rPr>
        <w:t>interests</w:t>
      </w:r>
      <w:r w:rsidR="009736AF">
        <w:rPr>
          <w:rFonts w:ascii="Times New Roman" w:hAnsi="Times New Roman" w:cs="Times New Roman"/>
          <w:sz w:val="24"/>
          <w:szCs w:val="24"/>
        </w:rPr>
        <w:t xml:space="preserve"> that, as noted,</w:t>
      </w:r>
      <w:r w:rsidR="00B173C8">
        <w:rPr>
          <w:rFonts w:ascii="Times New Roman" w:hAnsi="Times New Roman" w:cs="Times New Roman"/>
          <w:sz w:val="24"/>
          <w:szCs w:val="24"/>
        </w:rPr>
        <w:t xml:space="preserve"> are </w:t>
      </w:r>
      <w:r w:rsidR="009736AF">
        <w:rPr>
          <w:rFonts w:ascii="Times New Roman" w:hAnsi="Times New Roman" w:cs="Times New Roman"/>
          <w:sz w:val="24"/>
          <w:szCs w:val="24"/>
        </w:rPr>
        <w:t xml:space="preserve">often </w:t>
      </w:r>
      <w:r w:rsidR="00B173C8">
        <w:rPr>
          <w:rFonts w:ascii="Times New Roman" w:hAnsi="Times New Roman" w:cs="Times New Roman"/>
          <w:sz w:val="24"/>
          <w:szCs w:val="24"/>
        </w:rPr>
        <w:t xml:space="preserve">well served by </w:t>
      </w:r>
      <w:r w:rsidR="00471E3F">
        <w:rPr>
          <w:rFonts w:ascii="Times New Roman" w:hAnsi="Times New Roman" w:cs="Times New Roman"/>
          <w:sz w:val="24"/>
          <w:szCs w:val="24"/>
        </w:rPr>
        <w:t xml:space="preserve">making </w:t>
      </w:r>
      <w:r w:rsidR="00B173C8">
        <w:rPr>
          <w:rFonts w:ascii="Times New Roman" w:hAnsi="Times New Roman" w:cs="Times New Roman"/>
          <w:sz w:val="24"/>
          <w:szCs w:val="24"/>
        </w:rPr>
        <w:t>share-value-maximizing</w:t>
      </w:r>
      <w:r w:rsidR="00471E3F">
        <w:rPr>
          <w:rFonts w:ascii="Times New Roman" w:hAnsi="Times New Roman" w:cs="Times New Roman"/>
          <w:sz w:val="24"/>
          <w:szCs w:val="24"/>
        </w:rPr>
        <w:t xml:space="preserve"> decisions</w:t>
      </w:r>
      <w:r w:rsidRPr="005E3083">
        <w:rPr>
          <w:rFonts w:ascii="Times New Roman" w:hAnsi="Times New Roman" w:cs="Times New Roman"/>
          <w:sz w:val="24"/>
          <w:szCs w:val="24"/>
        </w:rPr>
        <w:t>, they may also live in their own bubble that allows them to self-justify continuing to do what has done in the past.</w:t>
      </w:r>
      <w:bookmarkStart w:id="12" w:name="_Ref178624775"/>
      <w:r w:rsidRPr="005E3083">
        <w:rPr>
          <w:rStyle w:val="FootnoteReference"/>
          <w:rFonts w:ascii="Times New Roman" w:hAnsi="Times New Roman" w:cs="Times New Roman"/>
          <w:sz w:val="24"/>
          <w:szCs w:val="24"/>
        </w:rPr>
        <w:footnoteReference w:id="39"/>
      </w:r>
      <w:bookmarkEnd w:id="12"/>
      <w:r w:rsidRPr="005E3083">
        <w:rPr>
          <w:rFonts w:ascii="Times New Roman" w:hAnsi="Times New Roman" w:cs="Times New Roman"/>
          <w:sz w:val="24"/>
          <w:szCs w:val="24"/>
        </w:rPr>
        <w:t xml:space="preserve"> A substantial vote in favor of the precatory resolution can be consciousness raising </w:t>
      </w:r>
      <w:r w:rsidR="00D81F55">
        <w:rPr>
          <w:rFonts w:ascii="Times New Roman" w:hAnsi="Times New Roman" w:cs="Times New Roman"/>
          <w:sz w:val="24"/>
          <w:szCs w:val="24"/>
        </w:rPr>
        <w:t xml:space="preserve">for these managers </w:t>
      </w:r>
      <w:r w:rsidRPr="005E3083">
        <w:rPr>
          <w:rFonts w:ascii="Times New Roman" w:hAnsi="Times New Roman" w:cs="Times New Roman"/>
          <w:sz w:val="24"/>
          <w:szCs w:val="24"/>
        </w:rPr>
        <w:t>and puncture that bubble</w:t>
      </w:r>
      <w:r w:rsidR="00796064">
        <w:rPr>
          <w:rFonts w:ascii="Times New Roman" w:hAnsi="Times New Roman" w:cs="Times New Roman"/>
          <w:sz w:val="24"/>
          <w:szCs w:val="24"/>
        </w:rPr>
        <w:t xml:space="preserve">. </w:t>
      </w:r>
      <w:r w:rsidRPr="005E3083">
        <w:rPr>
          <w:rFonts w:ascii="Times New Roman" w:hAnsi="Times New Roman" w:cs="Times New Roman"/>
          <w:sz w:val="24"/>
          <w:szCs w:val="24"/>
        </w:rPr>
        <w:t xml:space="preserve">From a policy point of </w:t>
      </w:r>
      <w:r w:rsidRPr="005E3083">
        <w:rPr>
          <w:rFonts w:ascii="Times New Roman" w:hAnsi="Times New Roman" w:cs="Times New Roman"/>
          <w:sz w:val="24"/>
          <w:szCs w:val="24"/>
        </w:rPr>
        <w:lastRenderedPageBreak/>
        <w:t>view, to the extent that such cases exist, they provide an argument on the side</w:t>
      </w:r>
      <w:r w:rsidR="009736AF">
        <w:rPr>
          <w:rFonts w:ascii="Times New Roman" w:hAnsi="Times New Roman" w:cs="Times New Roman"/>
          <w:sz w:val="24"/>
          <w:szCs w:val="24"/>
        </w:rPr>
        <w:t>s</w:t>
      </w:r>
      <w:r w:rsidRPr="005E3083">
        <w:rPr>
          <w:rFonts w:ascii="Times New Roman" w:hAnsi="Times New Roman" w:cs="Times New Roman"/>
          <w:sz w:val="24"/>
          <w:szCs w:val="24"/>
        </w:rPr>
        <w:t xml:space="preserve"> of making shareholder votes on such issuer easier or </w:t>
      </w:r>
      <w:r w:rsidR="009736AF">
        <w:rPr>
          <w:rFonts w:ascii="Times New Roman" w:hAnsi="Times New Roman" w:cs="Times New Roman"/>
          <w:sz w:val="24"/>
          <w:szCs w:val="24"/>
        </w:rPr>
        <w:t xml:space="preserve">even </w:t>
      </w:r>
      <w:r w:rsidRPr="005E3083">
        <w:rPr>
          <w:rFonts w:ascii="Times New Roman" w:hAnsi="Times New Roman" w:cs="Times New Roman"/>
          <w:sz w:val="24"/>
          <w:szCs w:val="24"/>
        </w:rPr>
        <w:t>making them more binding, but they are not examples of the more challenging issue of what to do in the face of shareholders who</w:t>
      </w:r>
      <w:r w:rsidR="00F52C31">
        <w:rPr>
          <w:rFonts w:ascii="Times New Roman" w:hAnsi="Times New Roman" w:cs="Times New Roman"/>
          <w:sz w:val="24"/>
          <w:szCs w:val="24"/>
        </w:rPr>
        <w:t>,</w:t>
      </w:r>
      <w:r w:rsidRPr="005E3083">
        <w:rPr>
          <w:rFonts w:ascii="Times New Roman" w:hAnsi="Times New Roman" w:cs="Times New Roman"/>
          <w:sz w:val="24"/>
          <w:szCs w:val="24"/>
        </w:rPr>
        <w:t xml:space="preserve"> for social </w:t>
      </w:r>
      <w:r w:rsidR="00FC10F6">
        <w:rPr>
          <w:rFonts w:ascii="Times New Roman" w:hAnsi="Times New Roman" w:cs="Times New Roman"/>
          <w:sz w:val="24"/>
          <w:szCs w:val="24"/>
        </w:rPr>
        <w:t xml:space="preserve">or other </w:t>
      </w:r>
      <w:r w:rsidRPr="005E3083">
        <w:rPr>
          <w:rFonts w:ascii="Times New Roman" w:hAnsi="Times New Roman" w:cs="Times New Roman"/>
          <w:sz w:val="24"/>
          <w:szCs w:val="24"/>
        </w:rPr>
        <w:t>reasons</w:t>
      </w:r>
      <w:r w:rsidR="00F52C31">
        <w:rPr>
          <w:rFonts w:ascii="Times New Roman" w:hAnsi="Times New Roman" w:cs="Times New Roman"/>
          <w:sz w:val="24"/>
          <w:szCs w:val="24"/>
        </w:rPr>
        <w:t>,</w:t>
      </w:r>
      <w:r w:rsidRPr="005E3083">
        <w:rPr>
          <w:rFonts w:ascii="Times New Roman" w:hAnsi="Times New Roman" w:cs="Times New Roman"/>
          <w:sz w:val="24"/>
          <w:szCs w:val="24"/>
        </w:rPr>
        <w:t xml:space="preserve"> prefer corporate behaviors that deviate from share value maximization.</w:t>
      </w:r>
    </w:p>
    <w:p w14:paraId="6E73F583" w14:textId="28109F24" w:rsidR="009F3E7E" w:rsidRDefault="009F3E7E" w:rsidP="00F355E2">
      <w:pPr>
        <w:spacing w:after="0" w:line="480" w:lineRule="auto"/>
        <w:jc w:val="both"/>
        <w:rPr>
          <w:rFonts w:ascii="Times New Roman" w:hAnsi="Times New Roman" w:cs="Times New Roman"/>
          <w:sz w:val="24"/>
          <w:szCs w:val="24"/>
        </w:rPr>
      </w:pPr>
      <w:r w:rsidRPr="005E3083">
        <w:rPr>
          <w:rFonts w:ascii="Times New Roman" w:hAnsi="Times New Roman" w:cs="Times New Roman"/>
          <w:sz w:val="24"/>
          <w:szCs w:val="24"/>
        </w:rPr>
        <w:tab/>
        <w:t>All this said, it is possible that some of the socially-oriented franchise related activity in recent years has been the cause of changes in corporate behavior representing modest deviations from share value maximization</w:t>
      </w:r>
      <w:r w:rsidR="00796064">
        <w:rPr>
          <w:rFonts w:ascii="Times New Roman" w:hAnsi="Times New Roman" w:cs="Times New Roman"/>
          <w:sz w:val="24"/>
          <w:szCs w:val="24"/>
        </w:rPr>
        <w:t xml:space="preserve">. </w:t>
      </w:r>
      <w:r w:rsidRPr="005E3083">
        <w:rPr>
          <w:rFonts w:ascii="Times New Roman" w:hAnsi="Times New Roman" w:cs="Times New Roman"/>
          <w:sz w:val="24"/>
          <w:szCs w:val="24"/>
        </w:rPr>
        <w:t>Suppose a significant portion of the corporation’s shareholders favor a resolution calling for a change in corporate behavior</w:t>
      </w:r>
      <w:r w:rsidR="009736AF">
        <w:rPr>
          <w:rFonts w:ascii="Times New Roman" w:hAnsi="Times New Roman" w:cs="Times New Roman"/>
          <w:sz w:val="24"/>
          <w:szCs w:val="24"/>
        </w:rPr>
        <w:t>. The shareholder proponents of the change argue that the change is consistent with share value maximization, but a</w:t>
      </w:r>
      <w:r w:rsidR="009736AF" w:rsidRPr="005E3083">
        <w:rPr>
          <w:rFonts w:ascii="Times New Roman" w:hAnsi="Times New Roman" w:cs="Times New Roman"/>
          <w:sz w:val="24"/>
          <w:szCs w:val="24"/>
        </w:rPr>
        <w:t xml:space="preserve">n honest, serious analysis </w:t>
      </w:r>
      <w:r w:rsidR="009736AF">
        <w:rPr>
          <w:rFonts w:ascii="Times New Roman" w:hAnsi="Times New Roman" w:cs="Times New Roman"/>
          <w:sz w:val="24"/>
          <w:szCs w:val="24"/>
        </w:rPr>
        <w:t xml:space="preserve">would </w:t>
      </w:r>
      <w:r w:rsidR="009736AF" w:rsidRPr="005E3083">
        <w:rPr>
          <w:rFonts w:ascii="Times New Roman" w:hAnsi="Times New Roman" w:cs="Times New Roman"/>
          <w:sz w:val="24"/>
          <w:szCs w:val="24"/>
        </w:rPr>
        <w:t xml:space="preserve">suggest </w:t>
      </w:r>
      <w:r w:rsidR="009736AF">
        <w:rPr>
          <w:rFonts w:ascii="Times New Roman" w:hAnsi="Times New Roman" w:cs="Times New Roman"/>
          <w:sz w:val="24"/>
          <w:szCs w:val="24"/>
        </w:rPr>
        <w:t xml:space="preserve">that it involves a </w:t>
      </w:r>
      <w:r w:rsidR="009736AF" w:rsidRPr="005E3083">
        <w:rPr>
          <w:rFonts w:ascii="Times New Roman" w:hAnsi="Times New Roman" w:cs="Times New Roman"/>
          <w:sz w:val="24"/>
          <w:szCs w:val="24"/>
        </w:rPr>
        <w:t xml:space="preserve">deviation from </w:t>
      </w:r>
      <w:r w:rsidR="009736AF">
        <w:rPr>
          <w:rFonts w:ascii="Times New Roman" w:hAnsi="Times New Roman" w:cs="Times New Roman"/>
          <w:sz w:val="24"/>
          <w:szCs w:val="24"/>
        </w:rPr>
        <w:t>that goal.</w:t>
      </w:r>
      <w:r w:rsidRPr="005E3083">
        <w:rPr>
          <w:rFonts w:ascii="Times New Roman" w:hAnsi="Times New Roman" w:cs="Times New Roman"/>
          <w:sz w:val="24"/>
          <w:szCs w:val="24"/>
        </w:rPr>
        <w:t xml:space="preserve"> </w:t>
      </w:r>
      <w:r w:rsidR="009736AF">
        <w:rPr>
          <w:rFonts w:ascii="Times New Roman" w:hAnsi="Times New Roman" w:cs="Times New Roman"/>
          <w:sz w:val="24"/>
          <w:szCs w:val="24"/>
        </w:rPr>
        <w:t xml:space="preserve">The </w:t>
      </w:r>
      <w:r w:rsidR="00022348">
        <w:rPr>
          <w:rFonts w:ascii="Times New Roman" w:hAnsi="Times New Roman" w:cs="Times New Roman"/>
          <w:sz w:val="24"/>
          <w:szCs w:val="24"/>
        </w:rPr>
        <w:t>manage</w:t>
      </w:r>
      <w:r w:rsidR="009736AF">
        <w:rPr>
          <w:rFonts w:ascii="Times New Roman" w:hAnsi="Times New Roman" w:cs="Times New Roman"/>
          <w:sz w:val="24"/>
          <w:szCs w:val="24"/>
        </w:rPr>
        <w:t>rs personally value the end sought by these shareholders.</w:t>
      </w:r>
      <w:r w:rsidR="00796064">
        <w:rPr>
          <w:rFonts w:ascii="Times New Roman" w:hAnsi="Times New Roman" w:cs="Times New Roman"/>
          <w:sz w:val="24"/>
          <w:szCs w:val="24"/>
        </w:rPr>
        <w:t xml:space="preserve"> </w:t>
      </w:r>
      <w:r w:rsidRPr="005E3083">
        <w:rPr>
          <w:rFonts w:ascii="Times New Roman" w:hAnsi="Times New Roman" w:cs="Times New Roman"/>
          <w:sz w:val="24"/>
          <w:szCs w:val="24"/>
        </w:rPr>
        <w:t xml:space="preserve">The existence of this shareholder backing may </w:t>
      </w:r>
      <w:r w:rsidR="00462EED">
        <w:rPr>
          <w:rFonts w:ascii="Times New Roman" w:hAnsi="Times New Roman" w:cs="Times New Roman"/>
          <w:sz w:val="24"/>
          <w:szCs w:val="24"/>
        </w:rPr>
        <w:t xml:space="preserve">make the difference in </w:t>
      </w:r>
      <w:r w:rsidR="00987D4F">
        <w:rPr>
          <w:rFonts w:ascii="Times New Roman" w:hAnsi="Times New Roman" w:cs="Times New Roman"/>
          <w:sz w:val="24"/>
          <w:szCs w:val="24"/>
        </w:rPr>
        <w:t>prompt</w:t>
      </w:r>
      <w:r w:rsidR="00462EED">
        <w:rPr>
          <w:rFonts w:ascii="Times New Roman" w:hAnsi="Times New Roman" w:cs="Times New Roman"/>
          <w:sz w:val="24"/>
          <w:szCs w:val="24"/>
        </w:rPr>
        <w:t xml:space="preserve">ing managers </w:t>
      </w:r>
      <w:r w:rsidR="00987D4F">
        <w:rPr>
          <w:rFonts w:ascii="Times New Roman" w:hAnsi="Times New Roman" w:cs="Times New Roman"/>
          <w:sz w:val="24"/>
          <w:szCs w:val="24"/>
        </w:rPr>
        <w:t xml:space="preserve">to make the change because, relative to that backing not being there, </w:t>
      </w:r>
      <w:r w:rsidR="00FB48DB">
        <w:rPr>
          <w:rFonts w:ascii="Times New Roman" w:hAnsi="Times New Roman" w:cs="Times New Roman"/>
          <w:sz w:val="24"/>
          <w:szCs w:val="24"/>
        </w:rPr>
        <w:t>the</w:t>
      </w:r>
      <w:r w:rsidRPr="005E3083">
        <w:rPr>
          <w:rFonts w:ascii="Times New Roman" w:hAnsi="Times New Roman" w:cs="Times New Roman"/>
          <w:sz w:val="24"/>
          <w:szCs w:val="24"/>
        </w:rPr>
        <w:t xml:space="preserve"> managers feel that</w:t>
      </w:r>
      <w:r w:rsidR="00987D4F">
        <w:rPr>
          <w:rFonts w:ascii="Times New Roman" w:hAnsi="Times New Roman" w:cs="Times New Roman"/>
          <w:sz w:val="24"/>
          <w:szCs w:val="24"/>
        </w:rPr>
        <w:t xml:space="preserve"> undertaking the action will </w:t>
      </w:r>
      <w:r w:rsidR="00FB48DB">
        <w:rPr>
          <w:rFonts w:ascii="Times New Roman" w:hAnsi="Times New Roman" w:cs="Times New Roman"/>
          <w:sz w:val="24"/>
          <w:szCs w:val="24"/>
        </w:rPr>
        <w:t xml:space="preserve">do more to </w:t>
      </w:r>
      <w:r w:rsidR="00987D4F">
        <w:rPr>
          <w:rFonts w:ascii="Times New Roman" w:hAnsi="Times New Roman" w:cs="Times New Roman"/>
          <w:sz w:val="24"/>
          <w:szCs w:val="24"/>
        </w:rPr>
        <w:t xml:space="preserve">enhance </w:t>
      </w:r>
      <w:r w:rsidRPr="005E3083">
        <w:rPr>
          <w:rFonts w:ascii="Times New Roman" w:hAnsi="Times New Roman" w:cs="Times New Roman"/>
          <w:sz w:val="24"/>
          <w:szCs w:val="24"/>
        </w:rPr>
        <w:t>their personal reputations</w:t>
      </w:r>
      <w:r w:rsidR="00987D4F">
        <w:rPr>
          <w:rFonts w:ascii="Times New Roman" w:hAnsi="Times New Roman" w:cs="Times New Roman"/>
          <w:sz w:val="24"/>
          <w:szCs w:val="24"/>
        </w:rPr>
        <w:t>.</w:t>
      </w:r>
      <w:r w:rsidRPr="005E3083">
        <w:rPr>
          <w:rFonts w:ascii="Times New Roman" w:hAnsi="Times New Roman" w:cs="Times New Roman"/>
          <w:sz w:val="24"/>
          <w:szCs w:val="24"/>
        </w:rPr>
        <w:t xml:space="preserve"> The same dynamic may be at work when directors are reelected after the corporation has pledged to behave in a manner akin to what a precatory resolution calls for</w:t>
      </w:r>
      <w:r w:rsidR="00796064">
        <w:rPr>
          <w:rFonts w:ascii="Times New Roman" w:hAnsi="Times New Roman" w:cs="Times New Roman"/>
          <w:sz w:val="24"/>
          <w:szCs w:val="24"/>
        </w:rPr>
        <w:t xml:space="preserve">. </w:t>
      </w:r>
      <w:r w:rsidRPr="005E3083">
        <w:rPr>
          <w:rFonts w:ascii="Times New Roman" w:hAnsi="Times New Roman" w:cs="Times New Roman"/>
          <w:sz w:val="24"/>
          <w:szCs w:val="24"/>
        </w:rPr>
        <w:t>As noted above, the impact on personal reputation is one of the interests that managers can be expected to weigh when making any corporate decision</w:t>
      </w:r>
      <w:r w:rsidR="00796064">
        <w:rPr>
          <w:rFonts w:ascii="Times New Roman" w:hAnsi="Times New Roman" w:cs="Times New Roman"/>
          <w:sz w:val="24"/>
          <w:szCs w:val="24"/>
        </w:rPr>
        <w:t xml:space="preserve">. </w:t>
      </w:r>
      <w:r w:rsidRPr="005E3083">
        <w:rPr>
          <w:rFonts w:ascii="Times New Roman" w:hAnsi="Times New Roman" w:cs="Times New Roman"/>
          <w:sz w:val="24"/>
          <w:szCs w:val="24"/>
        </w:rPr>
        <w:t xml:space="preserve">Although the other elements of our current larger overall system of corporate governance, discussed below, limit the room for </w:t>
      </w:r>
      <w:r w:rsidR="00987D4F">
        <w:rPr>
          <w:rFonts w:ascii="Times New Roman" w:hAnsi="Times New Roman" w:cs="Times New Roman"/>
          <w:sz w:val="24"/>
          <w:szCs w:val="24"/>
        </w:rPr>
        <w:t xml:space="preserve">such </w:t>
      </w:r>
      <w:r w:rsidRPr="005E3083">
        <w:rPr>
          <w:rFonts w:ascii="Times New Roman" w:hAnsi="Times New Roman" w:cs="Times New Roman"/>
          <w:sz w:val="24"/>
          <w:szCs w:val="24"/>
        </w:rPr>
        <w:t>de</w:t>
      </w:r>
      <w:r w:rsidR="00987D4F">
        <w:rPr>
          <w:rFonts w:ascii="Times New Roman" w:hAnsi="Times New Roman" w:cs="Times New Roman"/>
          <w:sz w:val="24"/>
          <w:szCs w:val="24"/>
        </w:rPr>
        <w:t xml:space="preserve">viations </w:t>
      </w:r>
      <w:r w:rsidRPr="005E3083">
        <w:rPr>
          <w:rFonts w:ascii="Times New Roman" w:hAnsi="Times New Roman" w:cs="Times New Roman"/>
          <w:sz w:val="24"/>
          <w:szCs w:val="24"/>
        </w:rPr>
        <w:t>from share value maximization</w:t>
      </w:r>
      <w:r w:rsidR="00987D4F">
        <w:rPr>
          <w:rFonts w:ascii="Times New Roman" w:hAnsi="Times New Roman" w:cs="Times New Roman"/>
          <w:sz w:val="24"/>
          <w:szCs w:val="24"/>
        </w:rPr>
        <w:t>,</w:t>
      </w:r>
      <w:r w:rsidRPr="005E3083">
        <w:rPr>
          <w:rFonts w:ascii="Times New Roman" w:hAnsi="Times New Roman" w:cs="Times New Roman"/>
          <w:sz w:val="24"/>
          <w:szCs w:val="24"/>
        </w:rPr>
        <w:t xml:space="preserve"> the</w:t>
      </w:r>
      <w:r w:rsidR="00F7635E">
        <w:rPr>
          <w:rFonts w:ascii="Times New Roman" w:hAnsi="Times New Roman" w:cs="Times New Roman"/>
          <w:sz w:val="24"/>
          <w:szCs w:val="24"/>
        </w:rPr>
        <w:t>se limits</w:t>
      </w:r>
      <w:r w:rsidRPr="005E3083">
        <w:rPr>
          <w:rFonts w:ascii="Times New Roman" w:hAnsi="Times New Roman" w:cs="Times New Roman"/>
          <w:sz w:val="24"/>
          <w:szCs w:val="24"/>
        </w:rPr>
        <w:t xml:space="preserve"> are not watertight and hence modest such deviations</w:t>
      </w:r>
      <w:r w:rsidR="00B135B3">
        <w:rPr>
          <w:rFonts w:ascii="Times New Roman" w:hAnsi="Times New Roman" w:cs="Times New Roman"/>
          <w:sz w:val="24"/>
          <w:szCs w:val="24"/>
        </w:rPr>
        <w:t>, even persistent ones,</w:t>
      </w:r>
      <w:r w:rsidRPr="005E3083">
        <w:rPr>
          <w:rFonts w:ascii="Times New Roman" w:hAnsi="Times New Roman" w:cs="Times New Roman"/>
          <w:sz w:val="24"/>
          <w:szCs w:val="24"/>
        </w:rPr>
        <w:t xml:space="preserve"> </w:t>
      </w:r>
      <w:r w:rsidR="00F7635E">
        <w:rPr>
          <w:rFonts w:ascii="Times New Roman" w:hAnsi="Times New Roman" w:cs="Times New Roman"/>
          <w:sz w:val="24"/>
          <w:szCs w:val="24"/>
        </w:rPr>
        <w:t>can</w:t>
      </w:r>
      <w:r w:rsidRPr="005E3083">
        <w:rPr>
          <w:rFonts w:ascii="Times New Roman" w:hAnsi="Times New Roman" w:cs="Times New Roman"/>
          <w:sz w:val="24"/>
          <w:szCs w:val="24"/>
        </w:rPr>
        <w:t xml:space="preserve"> occur. </w:t>
      </w:r>
    </w:p>
    <w:p w14:paraId="719EA231" w14:textId="42240F65" w:rsidR="009F3E7E" w:rsidRPr="005E3083" w:rsidRDefault="009F3E7E" w:rsidP="00F355E2">
      <w:pPr>
        <w:spacing w:after="0" w:line="480" w:lineRule="auto"/>
        <w:jc w:val="both"/>
        <w:rPr>
          <w:rFonts w:ascii="Times New Roman" w:hAnsi="Times New Roman" w:cs="Times New Roman"/>
          <w:sz w:val="24"/>
          <w:szCs w:val="24"/>
        </w:rPr>
      </w:pPr>
      <w:r w:rsidRPr="005E3083">
        <w:rPr>
          <w:rFonts w:ascii="Times New Roman" w:hAnsi="Times New Roman" w:cs="Times New Roman"/>
          <w:sz w:val="24"/>
          <w:szCs w:val="24"/>
        </w:rPr>
        <w:tab/>
      </w:r>
      <w:r w:rsidRPr="005E3083">
        <w:rPr>
          <w:rFonts w:ascii="Times New Roman" w:hAnsi="Times New Roman" w:cs="Times New Roman"/>
          <w:i/>
          <w:sz w:val="24"/>
          <w:szCs w:val="24"/>
        </w:rPr>
        <w:t xml:space="preserve">2. Why has the franchise not resulted in more socially-oriented deviations from share value maximization? </w:t>
      </w:r>
      <w:r w:rsidRPr="005E3083">
        <w:rPr>
          <w:rFonts w:ascii="Times New Roman" w:hAnsi="Times New Roman" w:cs="Times New Roman"/>
          <w:sz w:val="24"/>
          <w:szCs w:val="24"/>
        </w:rPr>
        <w:t xml:space="preserve">If we are correct that the franchise has not resulted in anything more than at most quite modest socially-oriented deviations from share value maximization, why is this the case?  </w:t>
      </w:r>
      <w:r w:rsidRPr="005E3083">
        <w:rPr>
          <w:rFonts w:ascii="Times New Roman" w:hAnsi="Times New Roman" w:cs="Times New Roman"/>
          <w:sz w:val="24"/>
          <w:szCs w:val="24"/>
        </w:rPr>
        <w:lastRenderedPageBreak/>
        <w:t xml:space="preserve">This question requires an answer because there must be many corporations which engage in one or more </w:t>
      </w:r>
      <w:r w:rsidR="00F7635E">
        <w:rPr>
          <w:rFonts w:ascii="Times New Roman" w:hAnsi="Times New Roman" w:cs="Times New Roman"/>
          <w:sz w:val="24"/>
          <w:szCs w:val="24"/>
        </w:rPr>
        <w:t xml:space="preserve">share value maximizing </w:t>
      </w:r>
      <w:r w:rsidRPr="005E3083">
        <w:rPr>
          <w:rFonts w:ascii="Times New Roman" w:hAnsi="Times New Roman" w:cs="Times New Roman"/>
          <w:sz w:val="24"/>
          <w:szCs w:val="24"/>
        </w:rPr>
        <w:t xml:space="preserve">behaviors where a majority of its equity investors, if fully informed as to the consequences of the behavior and the costs of avoiding </w:t>
      </w:r>
      <w:r w:rsidR="00F7635E">
        <w:rPr>
          <w:rFonts w:ascii="Times New Roman" w:hAnsi="Times New Roman" w:cs="Times New Roman"/>
          <w:sz w:val="24"/>
          <w:szCs w:val="24"/>
        </w:rPr>
        <w:t>it</w:t>
      </w:r>
      <w:r w:rsidRPr="005E3083">
        <w:rPr>
          <w:rFonts w:ascii="Times New Roman" w:hAnsi="Times New Roman" w:cs="Times New Roman"/>
          <w:sz w:val="24"/>
          <w:szCs w:val="24"/>
        </w:rPr>
        <w:t>, would prefer that the corporation stop engaging in that behavior</w:t>
      </w:r>
      <w:r w:rsidR="00580A87">
        <w:rPr>
          <w:rFonts w:ascii="Times New Roman" w:hAnsi="Times New Roman" w:cs="Times New Roman"/>
          <w:sz w:val="24"/>
          <w:szCs w:val="24"/>
        </w:rPr>
        <w:t>.</w:t>
      </w:r>
      <w:r w:rsidRPr="005E3083">
        <w:rPr>
          <w:rFonts w:ascii="Times New Roman" w:hAnsi="Times New Roman" w:cs="Times New Roman"/>
          <w:sz w:val="24"/>
          <w:szCs w:val="24"/>
        </w:rPr>
        <w:t xml:space="preserve"> Most equity investors are full human beings with a variety of values that can be impacted by the behavior of the corporations in which they have equity interests. There are likely many cases where the pro-rata cost to them of bringing the corporation’s behavior in line with their altruistic values </w:t>
      </w:r>
      <w:r w:rsidR="00580A87">
        <w:rPr>
          <w:rFonts w:ascii="Times New Roman" w:hAnsi="Times New Roman" w:cs="Times New Roman"/>
          <w:sz w:val="24"/>
          <w:szCs w:val="24"/>
        </w:rPr>
        <w:t xml:space="preserve">is </w:t>
      </w:r>
      <w:r w:rsidR="00640220">
        <w:rPr>
          <w:rFonts w:ascii="Times New Roman" w:hAnsi="Times New Roman" w:cs="Times New Roman"/>
          <w:sz w:val="24"/>
          <w:szCs w:val="24"/>
        </w:rPr>
        <w:t xml:space="preserve">relatively low and is </w:t>
      </w:r>
      <w:r w:rsidR="00580A87">
        <w:rPr>
          <w:rFonts w:ascii="Times New Roman" w:hAnsi="Times New Roman" w:cs="Times New Roman"/>
          <w:sz w:val="24"/>
          <w:szCs w:val="24"/>
        </w:rPr>
        <w:t xml:space="preserve">less than </w:t>
      </w:r>
      <w:r w:rsidRPr="005E3083">
        <w:rPr>
          <w:rFonts w:ascii="Times New Roman" w:hAnsi="Times New Roman" w:cs="Times New Roman"/>
          <w:sz w:val="24"/>
          <w:szCs w:val="24"/>
        </w:rPr>
        <w:t>the utility gain that they receive from corporation modifying its behavior.</w:t>
      </w:r>
      <w:r w:rsidRPr="005E3083">
        <w:rPr>
          <w:rStyle w:val="FootnoteReference"/>
          <w:rFonts w:ascii="Times New Roman" w:hAnsi="Times New Roman" w:cs="Times New Roman"/>
          <w:sz w:val="24"/>
          <w:szCs w:val="24"/>
        </w:rPr>
        <w:footnoteReference w:id="40"/>
      </w:r>
      <w:r w:rsidRPr="005E3083">
        <w:rPr>
          <w:rFonts w:ascii="Times New Roman" w:hAnsi="Times New Roman" w:cs="Times New Roman"/>
          <w:sz w:val="24"/>
          <w:szCs w:val="24"/>
        </w:rPr>
        <w:t xml:space="preserve"> </w:t>
      </w:r>
    </w:p>
    <w:p w14:paraId="6DC11886" w14:textId="22F30204" w:rsidR="009F3E7E" w:rsidRPr="005E3083" w:rsidRDefault="009F3E7E" w:rsidP="00F355E2">
      <w:pPr>
        <w:spacing w:after="0" w:line="480" w:lineRule="auto"/>
        <w:jc w:val="both"/>
        <w:rPr>
          <w:rFonts w:ascii="Times New Roman" w:hAnsi="Times New Roman" w:cs="Times New Roman"/>
          <w:sz w:val="24"/>
          <w:szCs w:val="24"/>
        </w:rPr>
      </w:pPr>
      <w:r w:rsidRPr="005E3083">
        <w:rPr>
          <w:rFonts w:ascii="Times New Roman" w:hAnsi="Times New Roman" w:cs="Times New Roman"/>
          <w:sz w:val="24"/>
          <w:szCs w:val="24"/>
        </w:rPr>
        <w:tab/>
        <w:t xml:space="preserve">The likely answer </w:t>
      </w:r>
      <w:r w:rsidR="00B32088">
        <w:rPr>
          <w:rFonts w:ascii="Times New Roman" w:hAnsi="Times New Roman" w:cs="Times New Roman"/>
          <w:sz w:val="24"/>
          <w:szCs w:val="24"/>
        </w:rPr>
        <w:t xml:space="preserve">to why </w:t>
      </w:r>
      <w:r w:rsidRPr="005E3083">
        <w:rPr>
          <w:rFonts w:ascii="Times New Roman" w:hAnsi="Times New Roman" w:cs="Times New Roman"/>
          <w:sz w:val="24"/>
          <w:szCs w:val="24"/>
        </w:rPr>
        <w:t xml:space="preserve">the shareholder franchise appears to have led to so little in the way of such deviations is that there is no effective transmission belt connecting corporate action to what, if they were fully informed, would be their preferences. To start, even a person whose only investment was a substantial block of shares in a single corporation is </w:t>
      </w:r>
      <w:r w:rsidR="00CD64DD">
        <w:rPr>
          <w:rFonts w:ascii="Times New Roman" w:hAnsi="Times New Roman" w:cs="Times New Roman"/>
          <w:sz w:val="24"/>
          <w:szCs w:val="24"/>
        </w:rPr>
        <w:t xml:space="preserve">often </w:t>
      </w:r>
      <w:r w:rsidRPr="005E3083">
        <w:rPr>
          <w:rFonts w:ascii="Times New Roman" w:hAnsi="Times New Roman" w:cs="Times New Roman"/>
          <w:sz w:val="24"/>
          <w:szCs w:val="24"/>
        </w:rPr>
        <w:t>far from fully informed</w:t>
      </w:r>
      <w:r w:rsidR="000F55FC">
        <w:rPr>
          <w:rFonts w:ascii="Times New Roman" w:hAnsi="Times New Roman" w:cs="Times New Roman"/>
          <w:sz w:val="24"/>
          <w:szCs w:val="24"/>
        </w:rPr>
        <w:t xml:space="preserve"> as to what the consequences of </w:t>
      </w:r>
      <w:r w:rsidR="00CD64DD">
        <w:rPr>
          <w:rFonts w:ascii="Times New Roman" w:hAnsi="Times New Roman" w:cs="Times New Roman"/>
          <w:sz w:val="24"/>
          <w:szCs w:val="24"/>
        </w:rPr>
        <w:t xml:space="preserve">any given corporate action will be </w:t>
      </w:r>
      <w:r w:rsidR="00FB48DB">
        <w:rPr>
          <w:rFonts w:ascii="Times New Roman" w:hAnsi="Times New Roman" w:cs="Times New Roman"/>
          <w:sz w:val="24"/>
          <w:szCs w:val="24"/>
        </w:rPr>
        <w:t xml:space="preserve">to others in society </w:t>
      </w:r>
      <w:r w:rsidR="00CD64DD">
        <w:rPr>
          <w:rFonts w:ascii="Times New Roman" w:hAnsi="Times New Roman" w:cs="Times New Roman"/>
          <w:sz w:val="24"/>
          <w:szCs w:val="24"/>
        </w:rPr>
        <w:t>or to what it would cost in profits to avoid these consequences</w:t>
      </w:r>
      <w:r w:rsidR="00796064">
        <w:rPr>
          <w:rFonts w:ascii="Times New Roman" w:hAnsi="Times New Roman" w:cs="Times New Roman"/>
          <w:sz w:val="24"/>
          <w:szCs w:val="24"/>
        </w:rPr>
        <w:t xml:space="preserve">. </w:t>
      </w:r>
      <w:r w:rsidR="00CD64DD">
        <w:rPr>
          <w:rFonts w:ascii="Times New Roman" w:hAnsi="Times New Roman" w:cs="Times New Roman"/>
          <w:sz w:val="24"/>
          <w:szCs w:val="24"/>
        </w:rPr>
        <w:t>The costs of acquiring and processing such information</w:t>
      </w:r>
      <w:r w:rsidRPr="005E3083">
        <w:rPr>
          <w:rFonts w:ascii="Times New Roman" w:hAnsi="Times New Roman" w:cs="Times New Roman"/>
          <w:sz w:val="24"/>
          <w:szCs w:val="24"/>
        </w:rPr>
        <w:t xml:space="preserve"> is one important reason why specific business decisions are delegated to a corporation’s directors and officers in the first place</w:t>
      </w:r>
      <w:r w:rsidR="00796064">
        <w:rPr>
          <w:rFonts w:ascii="Times New Roman" w:hAnsi="Times New Roman" w:cs="Times New Roman"/>
          <w:sz w:val="24"/>
          <w:szCs w:val="24"/>
        </w:rPr>
        <w:t xml:space="preserve">. </w:t>
      </w:r>
      <w:r w:rsidRPr="005E3083">
        <w:rPr>
          <w:rFonts w:ascii="Times New Roman" w:hAnsi="Times New Roman" w:cs="Times New Roman"/>
          <w:sz w:val="24"/>
          <w:szCs w:val="24"/>
        </w:rPr>
        <w:t xml:space="preserve">But the problem goes far beyond this with the </w:t>
      </w:r>
      <w:r w:rsidR="00FB48DB">
        <w:rPr>
          <w:rFonts w:ascii="Times New Roman" w:hAnsi="Times New Roman" w:cs="Times New Roman"/>
          <w:sz w:val="24"/>
          <w:szCs w:val="24"/>
        </w:rPr>
        <w:t xml:space="preserve">majority of shareholders of the </w:t>
      </w:r>
      <w:r w:rsidRPr="005E3083">
        <w:rPr>
          <w:rFonts w:ascii="Times New Roman" w:hAnsi="Times New Roman" w:cs="Times New Roman"/>
          <w:sz w:val="24"/>
          <w:szCs w:val="24"/>
        </w:rPr>
        <w:t xml:space="preserve">typical dispersed ownership publicly traded corporation. </w:t>
      </w:r>
      <w:r w:rsidR="00057FD5">
        <w:rPr>
          <w:rFonts w:ascii="Times New Roman" w:hAnsi="Times New Roman" w:cs="Times New Roman"/>
          <w:sz w:val="24"/>
          <w:szCs w:val="24"/>
        </w:rPr>
        <w:t xml:space="preserve">A substantial portion </w:t>
      </w:r>
      <w:r w:rsidRPr="005E3083">
        <w:rPr>
          <w:rFonts w:ascii="Times New Roman" w:hAnsi="Times New Roman" w:cs="Times New Roman"/>
          <w:sz w:val="24"/>
          <w:szCs w:val="24"/>
        </w:rPr>
        <w:t xml:space="preserve">of the equity interests in such a firm are held by individuals </w:t>
      </w:r>
      <w:r w:rsidR="00316A7C">
        <w:rPr>
          <w:rFonts w:ascii="Times New Roman" w:hAnsi="Times New Roman" w:cs="Times New Roman"/>
          <w:sz w:val="24"/>
          <w:szCs w:val="24"/>
        </w:rPr>
        <w:t xml:space="preserve">each of </w:t>
      </w:r>
      <w:r w:rsidRPr="005E3083">
        <w:rPr>
          <w:rFonts w:ascii="Times New Roman" w:hAnsi="Times New Roman" w:cs="Times New Roman"/>
          <w:sz w:val="24"/>
          <w:szCs w:val="24"/>
        </w:rPr>
        <w:t xml:space="preserve">whose </w:t>
      </w:r>
      <w:r w:rsidRPr="005E3083">
        <w:rPr>
          <w:rFonts w:ascii="Times New Roman" w:hAnsi="Times New Roman" w:cs="Times New Roman"/>
          <w:sz w:val="24"/>
          <w:szCs w:val="24"/>
        </w:rPr>
        <w:lastRenderedPageBreak/>
        <w:t>interest, whether obtained directly or indirectly through investment in a fund, represent</w:t>
      </w:r>
      <w:r w:rsidR="00316A7C">
        <w:rPr>
          <w:rFonts w:ascii="Times New Roman" w:hAnsi="Times New Roman" w:cs="Times New Roman"/>
          <w:sz w:val="24"/>
          <w:szCs w:val="24"/>
        </w:rPr>
        <w:t>s</w:t>
      </w:r>
      <w:r w:rsidRPr="005E3083">
        <w:rPr>
          <w:rFonts w:ascii="Times New Roman" w:hAnsi="Times New Roman" w:cs="Times New Roman"/>
          <w:sz w:val="24"/>
          <w:szCs w:val="24"/>
        </w:rPr>
        <w:t xml:space="preserve"> just a tiny fraction of the firm. These individuals typically have equity interests in many other firms </w:t>
      </w:r>
      <w:r w:rsidR="00DF7DB3">
        <w:rPr>
          <w:rFonts w:ascii="Times New Roman" w:hAnsi="Times New Roman" w:cs="Times New Roman"/>
          <w:sz w:val="24"/>
          <w:szCs w:val="24"/>
        </w:rPr>
        <w:t xml:space="preserve">as well, in each case </w:t>
      </w:r>
      <w:r w:rsidRPr="005E3083">
        <w:rPr>
          <w:rFonts w:ascii="Times New Roman" w:hAnsi="Times New Roman" w:cs="Times New Roman"/>
          <w:sz w:val="24"/>
          <w:szCs w:val="24"/>
        </w:rPr>
        <w:t>represent</w:t>
      </w:r>
      <w:r w:rsidR="00DF7DB3">
        <w:rPr>
          <w:rFonts w:ascii="Times New Roman" w:hAnsi="Times New Roman" w:cs="Times New Roman"/>
          <w:sz w:val="24"/>
          <w:szCs w:val="24"/>
        </w:rPr>
        <w:t>ing</w:t>
      </w:r>
      <w:r w:rsidRPr="005E3083">
        <w:rPr>
          <w:rFonts w:ascii="Times New Roman" w:hAnsi="Times New Roman" w:cs="Times New Roman"/>
          <w:sz w:val="24"/>
          <w:szCs w:val="24"/>
        </w:rPr>
        <w:t xml:space="preserve"> similarly tiny fractions</w:t>
      </w:r>
      <w:r w:rsidR="00796064">
        <w:rPr>
          <w:rFonts w:ascii="Times New Roman" w:hAnsi="Times New Roman" w:cs="Times New Roman"/>
          <w:sz w:val="24"/>
          <w:szCs w:val="24"/>
        </w:rPr>
        <w:t xml:space="preserve">. </w:t>
      </w:r>
      <w:r w:rsidR="00057FD5">
        <w:rPr>
          <w:rFonts w:ascii="Times New Roman" w:hAnsi="Times New Roman" w:cs="Times New Roman"/>
          <w:sz w:val="24"/>
          <w:szCs w:val="24"/>
        </w:rPr>
        <w:t>The typical s</w:t>
      </w:r>
      <w:r w:rsidR="00FB48DB">
        <w:rPr>
          <w:rFonts w:ascii="Times New Roman" w:hAnsi="Times New Roman" w:cs="Times New Roman"/>
          <w:sz w:val="24"/>
          <w:szCs w:val="24"/>
        </w:rPr>
        <w:t>uch individual, d</w:t>
      </w:r>
      <w:r w:rsidRPr="005E3083">
        <w:rPr>
          <w:rFonts w:ascii="Times New Roman" w:hAnsi="Times New Roman" w:cs="Times New Roman"/>
          <w:sz w:val="24"/>
          <w:szCs w:val="24"/>
        </w:rPr>
        <w:t xml:space="preserve">espite </w:t>
      </w:r>
      <w:r w:rsidR="00FB48DB">
        <w:rPr>
          <w:rFonts w:ascii="Times New Roman" w:hAnsi="Times New Roman" w:cs="Times New Roman"/>
          <w:sz w:val="24"/>
          <w:szCs w:val="24"/>
        </w:rPr>
        <w:t xml:space="preserve">possessing </w:t>
      </w:r>
      <w:r w:rsidRPr="005E3083">
        <w:rPr>
          <w:rFonts w:ascii="Times New Roman" w:hAnsi="Times New Roman" w:cs="Times New Roman"/>
          <w:sz w:val="24"/>
          <w:szCs w:val="24"/>
        </w:rPr>
        <w:t xml:space="preserve">a degree of altruism, </w:t>
      </w:r>
      <w:r w:rsidR="00FB48DB">
        <w:rPr>
          <w:rFonts w:ascii="Times New Roman" w:hAnsi="Times New Roman" w:cs="Times New Roman"/>
          <w:sz w:val="24"/>
          <w:szCs w:val="24"/>
        </w:rPr>
        <w:t xml:space="preserve">will </w:t>
      </w:r>
      <w:r w:rsidRPr="005E3083">
        <w:rPr>
          <w:rFonts w:ascii="Times New Roman" w:hAnsi="Times New Roman" w:cs="Times New Roman"/>
          <w:sz w:val="24"/>
          <w:szCs w:val="24"/>
        </w:rPr>
        <w:t xml:space="preserve">just not </w:t>
      </w:r>
      <w:r w:rsidR="00FB48DB">
        <w:rPr>
          <w:rFonts w:ascii="Times New Roman" w:hAnsi="Times New Roman" w:cs="Times New Roman"/>
          <w:sz w:val="24"/>
          <w:szCs w:val="24"/>
        </w:rPr>
        <w:t xml:space="preserve">find it </w:t>
      </w:r>
      <w:r w:rsidRPr="005E3083">
        <w:rPr>
          <w:rFonts w:ascii="Times New Roman" w:hAnsi="Times New Roman" w:cs="Times New Roman"/>
          <w:sz w:val="24"/>
          <w:szCs w:val="24"/>
        </w:rPr>
        <w:t>worthwhile  to become an informed voter</w:t>
      </w:r>
      <w:r w:rsidR="0018553A">
        <w:rPr>
          <w:rFonts w:ascii="Times New Roman" w:hAnsi="Times New Roman" w:cs="Times New Roman"/>
          <w:sz w:val="24"/>
          <w:szCs w:val="24"/>
        </w:rPr>
        <w:t xml:space="preserve">, </w:t>
      </w:r>
      <w:r w:rsidRPr="005E3083">
        <w:rPr>
          <w:rFonts w:ascii="Times New Roman" w:hAnsi="Times New Roman" w:cs="Times New Roman"/>
          <w:sz w:val="24"/>
          <w:szCs w:val="24"/>
        </w:rPr>
        <w:t xml:space="preserve"> </w:t>
      </w:r>
      <w:r w:rsidR="0018553A">
        <w:rPr>
          <w:rFonts w:ascii="Times New Roman" w:hAnsi="Times New Roman" w:cs="Times New Roman"/>
          <w:sz w:val="24"/>
          <w:szCs w:val="24"/>
        </w:rPr>
        <w:t xml:space="preserve">and </w:t>
      </w:r>
      <w:r w:rsidR="00384010">
        <w:rPr>
          <w:rFonts w:ascii="Times New Roman" w:hAnsi="Times New Roman" w:cs="Times New Roman"/>
          <w:sz w:val="24"/>
          <w:szCs w:val="24"/>
        </w:rPr>
        <w:t xml:space="preserve">to </w:t>
      </w:r>
      <w:r w:rsidR="0018553A">
        <w:rPr>
          <w:rFonts w:ascii="Times New Roman" w:hAnsi="Times New Roman" w:cs="Times New Roman"/>
          <w:sz w:val="24"/>
          <w:szCs w:val="24"/>
        </w:rPr>
        <w:t xml:space="preserve">cooperate with others </w:t>
      </w:r>
      <w:r w:rsidRPr="005E3083">
        <w:rPr>
          <w:rFonts w:ascii="Times New Roman" w:hAnsi="Times New Roman" w:cs="Times New Roman"/>
          <w:sz w:val="24"/>
          <w:szCs w:val="24"/>
        </w:rPr>
        <w:t xml:space="preserve">in ways that would permit them to act </w:t>
      </w:r>
      <w:r w:rsidR="00057FD5">
        <w:rPr>
          <w:rFonts w:ascii="Times New Roman" w:hAnsi="Times New Roman" w:cs="Times New Roman"/>
          <w:sz w:val="24"/>
          <w:szCs w:val="24"/>
        </w:rPr>
        <w:t xml:space="preserve">together </w:t>
      </w:r>
      <w:r w:rsidRPr="005E3083">
        <w:rPr>
          <w:rFonts w:ascii="Times New Roman" w:hAnsi="Times New Roman" w:cs="Times New Roman"/>
          <w:sz w:val="24"/>
          <w:szCs w:val="24"/>
        </w:rPr>
        <w:t>on this altruism.</w:t>
      </w:r>
      <w:bookmarkStart w:id="13" w:name="_Ref180747272"/>
      <w:r w:rsidRPr="005E3083">
        <w:rPr>
          <w:rStyle w:val="FootnoteReference"/>
          <w:rFonts w:ascii="Times New Roman" w:hAnsi="Times New Roman" w:cs="Times New Roman"/>
          <w:sz w:val="24"/>
          <w:szCs w:val="24"/>
        </w:rPr>
        <w:footnoteReference w:id="41"/>
      </w:r>
      <w:bookmarkEnd w:id="13"/>
      <w:r w:rsidRPr="005E3083">
        <w:rPr>
          <w:rFonts w:ascii="Times New Roman" w:hAnsi="Times New Roman" w:cs="Times New Roman"/>
          <w:sz w:val="24"/>
          <w:szCs w:val="24"/>
        </w:rPr>
        <w:t xml:space="preserve">  </w:t>
      </w:r>
      <w:r w:rsidR="00734759">
        <w:rPr>
          <w:rFonts w:ascii="Times New Roman" w:hAnsi="Times New Roman" w:cs="Times New Roman"/>
          <w:sz w:val="24"/>
          <w:szCs w:val="24"/>
        </w:rPr>
        <w:t xml:space="preserve">If </w:t>
      </w:r>
      <w:r w:rsidR="00057FD5">
        <w:rPr>
          <w:rFonts w:ascii="Times New Roman" w:hAnsi="Times New Roman" w:cs="Times New Roman"/>
          <w:sz w:val="24"/>
          <w:szCs w:val="24"/>
        </w:rPr>
        <w:t xml:space="preserve">rational apathy applies to </w:t>
      </w:r>
      <w:r w:rsidR="00572785">
        <w:rPr>
          <w:rFonts w:ascii="Times New Roman" w:hAnsi="Times New Roman" w:cs="Times New Roman"/>
          <w:sz w:val="24"/>
          <w:szCs w:val="24"/>
        </w:rPr>
        <w:t xml:space="preserve">informed </w:t>
      </w:r>
      <w:r w:rsidR="00057FD5">
        <w:rPr>
          <w:rFonts w:ascii="Times New Roman" w:hAnsi="Times New Roman" w:cs="Times New Roman"/>
          <w:sz w:val="24"/>
          <w:szCs w:val="24"/>
        </w:rPr>
        <w:t>shareholder</w:t>
      </w:r>
      <w:r w:rsidR="004B1868">
        <w:rPr>
          <w:rFonts w:ascii="Times New Roman" w:hAnsi="Times New Roman" w:cs="Times New Roman"/>
          <w:sz w:val="24"/>
          <w:szCs w:val="24"/>
        </w:rPr>
        <w:t xml:space="preserve"> </w:t>
      </w:r>
      <w:r w:rsidRPr="005E3083">
        <w:rPr>
          <w:rFonts w:ascii="Times New Roman" w:hAnsi="Times New Roman" w:cs="Times New Roman"/>
          <w:sz w:val="24"/>
          <w:szCs w:val="24"/>
        </w:rPr>
        <w:t>voting</w:t>
      </w:r>
      <w:r w:rsidR="00057FD5">
        <w:rPr>
          <w:rFonts w:ascii="Times New Roman" w:hAnsi="Times New Roman" w:cs="Times New Roman"/>
          <w:sz w:val="24"/>
          <w:szCs w:val="24"/>
        </w:rPr>
        <w:t xml:space="preserve"> with respect to issues relating to a corporation’s profitability</w:t>
      </w:r>
      <w:r w:rsidRPr="005E3083">
        <w:rPr>
          <w:rFonts w:ascii="Times New Roman" w:hAnsi="Times New Roman" w:cs="Times New Roman"/>
          <w:sz w:val="24"/>
          <w:szCs w:val="24"/>
        </w:rPr>
        <w:t>,</w:t>
      </w:r>
      <w:r w:rsidRPr="005E3083">
        <w:rPr>
          <w:rStyle w:val="FootnoteReference"/>
          <w:rFonts w:ascii="Times New Roman" w:hAnsi="Times New Roman" w:cs="Times New Roman"/>
          <w:sz w:val="24"/>
          <w:szCs w:val="24"/>
        </w:rPr>
        <w:footnoteReference w:id="42"/>
      </w:r>
      <w:r w:rsidRPr="005E3083">
        <w:rPr>
          <w:rFonts w:ascii="Times New Roman" w:hAnsi="Times New Roman" w:cs="Times New Roman"/>
          <w:sz w:val="24"/>
          <w:szCs w:val="24"/>
        </w:rPr>
        <w:t xml:space="preserve"> it applies in spades to </w:t>
      </w:r>
      <w:r w:rsidR="00572785">
        <w:rPr>
          <w:rFonts w:ascii="Times New Roman" w:hAnsi="Times New Roman" w:cs="Times New Roman"/>
          <w:sz w:val="24"/>
          <w:szCs w:val="24"/>
        </w:rPr>
        <w:t xml:space="preserve">voting with respect to issues </w:t>
      </w:r>
      <w:r w:rsidRPr="005E3083">
        <w:rPr>
          <w:rFonts w:ascii="Times New Roman" w:hAnsi="Times New Roman" w:cs="Times New Roman"/>
          <w:sz w:val="24"/>
          <w:szCs w:val="24"/>
        </w:rPr>
        <w:t xml:space="preserve">involving a corporation’s social impact, which in most cases </w:t>
      </w:r>
      <w:r w:rsidR="00F124C8">
        <w:rPr>
          <w:rFonts w:ascii="Times New Roman" w:hAnsi="Times New Roman" w:cs="Times New Roman"/>
          <w:sz w:val="24"/>
          <w:szCs w:val="24"/>
        </w:rPr>
        <w:t>is</w:t>
      </w:r>
      <w:r w:rsidRPr="005E3083">
        <w:rPr>
          <w:rFonts w:ascii="Times New Roman" w:hAnsi="Times New Roman" w:cs="Times New Roman"/>
          <w:sz w:val="24"/>
          <w:szCs w:val="24"/>
        </w:rPr>
        <w:t xml:space="preserve"> not the primary reason that </w:t>
      </w:r>
      <w:r w:rsidR="00F124C8">
        <w:rPr>
          <w:rFonts w:ascii="Times New Roman" w:hAnsi="Times New Roman" w:cs="Times New Roman"/>
          <w:sz w:val="24"/>
          <w:szCs w:val="24"/>
        </w:rPr>
        <w:t xml:space="preserve">the </w:t>
      </w:r>
      <w:r w:rsidRPr="005E3083">
        <w:rPr>
          <w:rFonts w:ascii="Times New Roman" w:hAnsi="Times New Roman" w:cs="Times New Roman"/>
          <w:sz w:val="24"/>
          <w:szCs w:val="24"/>
        </w:rPr>
        <w:t xml:space="preserve">individual </w:t>
      </w:r>
      <w:r w:rsidR="00384010">
        <w:rPr>
          <w:rFonts w:ascii="Times New Roman" w:hAnsi="Times New Roman" w:cs="Times New Roman"/>
          <w:sz w:val="24"/>
          <w:szCs w:val="24"/>
        </w:rPr>
        <w:t>mad</w:t>
      </w:r>
      <w:r w:rsidR="00F124C8">
        <w:rPr>
          <w:rFonts w:ascii="Times New Roman" w:hAnsi="Times New Roman" w:cs="Times New Roman"/>
          <w:sz w:val="24"/>
          <w:szCs w:val="24"/>
        </w:rPr>
        <w:t xml:space="preserve">e </w:t>
      </w:r>
      <w:r w:rsidR="00384010">
        <w:rPr>
          <w:rFonts w:ascii="Times New Roman" w:hAnsi="Times New Roman" w:cs="Times New Roman"/>
          <w:sz w:val="24"/>
          <w:szCs w:val="24"/>
        </w:rPr>
        <w:t>the</w:t>
      </w:r>
      <w:r w:rsidR="00F124C8">
        <w:rPr>
          <w:rFonts w:ascii="Times New Roman" w:hAnsi="Times New Roman" w:cs="Times New Roman"/>
          <w:sz w:val="24"/>
          <w:szCs w:val="24"/>
        </w:rPr>
        <w:t xml:space="preserve"> equity </w:t>
      </w:r>
      <w:r w:rsidRPr="005E3083">
        <w:rPr>
          <w:rFonts w:ascii="Times New Roman" w:hAnsi="Times New Roman" w:cs="Times New Roman"/>
          <w:sz w:val="24"/>
          <w:szCs w:val="24"/>
        </w:rPr>
        <w:t>investment in the first place.</w:t>
      </w:r>
      <w:r w:rsidRPr="005E3083">
        <w:rPr>
          <w:rStyle w:val="FootnoteReference"/>
          <w:rFonts w:ascii="Times New Roman" w:hAnsi="Times New Roman" w:cs="Times New Roman"/>
          <w:sz w:val="24"/>
          <w:szCs w:val="24"/>
        </w:rPr>
        <w:footnoteReference w:id="43"/>
      </w:r>
      <w:r w:rsidRPr="005E3083">
        <w:rPr>
          <w:rFonts w:ascii="Times New Roman" w:hAnsi="Times New Roman" w:cs="Times New Roman"/>
          <w:sz w:val="24"/>
          <w:szCs w:val="24"/>
        </w:rPr>
        <w:t xml:space="preserve"> </w:t>
      </w:r>
      <w:r w:rsidR="008863B9">
        <w:rPr>
          <w:rFonts w:ascii="Times New Roman" w:hAnsi="Times New Roman" w:cs="Times New Roman"/>
          <w:sz w:val="24"/>
          <w:szCs w:val="24"/>
        </w:rPr>
        <w:t xml:space="preserve">Some commentators have suggested that </w:t>
      </w:r>
      <w:r w:rsidR="00B5023C">
        <w:rPr>
          <w:rFonts w:ascii="Times New Roman" w:hAnsi="Times New Roman" w:cs="Times New Roman"/>
          <w:sz w:val="24"/>
          <w:szCs w:val="24"/>
        </w:rPr>
        <w:t>a corporation should</w:t>
      </w:r>
      <w:r w:rsidR="008863B9">
        <w:rPr>
          <w:rFonts w:ascii="Times New Roman" w:hAnsi="Times New Roman" w:cs="Times New Roman"/>
          <w:sz w:val="24"/>
          <w:szCs w:val="24"/>
        </w:rPr>
        <w:t xml:space="preserve"> regularly poll their shareholders</w:t>
      </w:r>
      <w:r w:rsidR="00B5023C">
        <w:rPr>
          <w:rFonts w:ascii="Times New Roman" w:hAnsi="Times New Roman" w:cs="Times New Roman"/>
          <w:sz w:val="24"/>
          <w:szCs w:val="24"/>
        </w:rPr>
        <w:t xml:space="preserve"> on their views as to how the corporation should behave in various socially relevant ways,</w:t>
      </w:r>
      <w:bookmarkStart w:id="14" w:name="_Ref180496848"/>
      <w:r w:rsidR="00B5023C">
        <w:rPr>
          <w:rStyle w:val="FootnoteReference"/>
          <w:rFonts w:ascii="Times New Roman" w:hAnsi="Times New Roman" w:cs="Times New Roman"/>
          <w:sz w:val="24"/>
          <w:szCs w:val="24"/>
        </w:rPr>
        <w:footnoteReference w:id="44"/>
      </w:r>
      <w:bookmarkEnd w:id="14"/>
      <w:r w:rsidR="00B5023C">
        <w:rPr>
          <w:rFonts w:ascii="Times New Roman" w:hAnsi="Times New Roman" w:cs="Times New Roman"/>
          <w:sz w:val="24"/>
          <w:szCs w:val="24"/>
        </w:rPr>
        <w:t xml:space="preserve"> but simply setting up this additional channel of communication cannot cure the more fundamental problems with relying on shareholder votes discussed here. </w:t>
      </w:r>
    </w:p>
    <w:p w14:paraId="24A38D25" w14:textId="23FAA015" w:rsidR="00301E1F" w:rsidRDefault="009F3E7E" w:rsidP="00F355E2">
      <w:pPr>
        <w:spacing w:after="0" w:line="480" w:lineRule="auto"/>
        <w:jc w:val="both"/>
        <w:rPr>
          <w:rFonts w:ascii="Times New Roman" w:hAnsi="Times New Roman" w:cs="Times New Roman"/>
          <w:sz w:val="24"/>
          <w:szCs w:val="24"/>
        </w:rPr>
      </w:pPr>
      <w:r w:rsidRPr="005E3083">
        <w:rPr>
          <w:rFonts w:ascii="Times New Roman" w:hAnsi="Times New Roman" w:cs="Times New Roman"/>
          <w:sz w:val="24"/>
          <w:szCs w:val="24"/>
        </w:rPr>
        <w:lastRenderedPageBreak/>
        <w:tab/>
        <w:t>A possible response to this skepticism is that equity investors in such corporations can operationalize their altruistic side through delegation</w:t>
      </w:r>
      <w:r w:rsidR="00796064">
        <w:rPr>
          <w:rFonts w:ascii="Times New Roman" w:hAnsi="Times New Roman" w:cs="Times New Roman"/>
          <w:sz w:val="24"/>
          <w:szCs w:val="24"/>
        </w:rPr>
        <w:t xml:space="preserve">. </w:t>
      </w:r>
      <w:r w:rsidR="00572785">
        <w:rPr>
          <w:rFonts w:ascii="Times New Roman" w:hAnsi="Times New Roman" w:cs="Times New Roman"/>
          <w:sz w:val="24"/>
          <w:szCs w:val="24"/>
        </w:rPr>
        <w:t xml:space="preserve"> Such an investor </w:t>
      </w:r>
      <w:r w:rsidRPr="005E3083">
        <w:rPr>
          <w:rFonts w:ascii="Times New Roman" w:hAnsi="Times New Roman" w:cs="Times New Roman"/>
          <w:sz w:val="24"/>
          <w:szCs w:val="24"/>
        </w:rPr>
        <w:t xml:space="preserve">can acquire </w:t>
      </w:r>
      <w:r w:rsidR="00572785">
        <w:rPr>
          <w:rFonts w:ascii="Times New Roman" w:hAnsi="Times New Roman" w:cs="Times New Roman"/>
          <w:sz w:val="24"/>
          <w:szCs w:val="24"/>
        </w:rPr>
        <w:t>her</w:t>
      </w:r>
      <w:r w:rsidRPr="005E3083">
        <w:rPr>
          <w:rFonts w:ascii="Times New Roman" w:hAnsi="Times New Roman" w:cs="Times New Roman"/>
          <w:sz w:val="24"/>
          <w:szCs w:val="24"/>
        </w:rPr>
        <w:t xml:space="preserve"> </w:t>
      </w:r>
      <w:r w:rsidR="00572785">
        <w:rPr>
          <w:rFonts w:ascii="Times New Roman" w:hAnsi="Times New Roman" w:cs="Times New Roman"/>
          <w:sz w:val="24"/>
          <w:szCs w:val="24"/>
        </w:rPr>
        <w:t xml:space="preserve">interests in corporate </w:t>
      </w:r>
      <w:r w:rsidRPr="005E3083">
        <w:rPr>
          <w:rFonts w:ascii="Times New Roman" w:hAnsi="Times New Roman" w:cs="Times New Roman"/>
          <w:sz w:val="24"/>
          <w:szCs w:val="24"/>
        </w:rPr>
        <w:t>equit</w:t>
      </w:r>
      <w:r w:rsidR="00572785">
        <w:rPr>
          <w:rFonts w:ascii="Times New Roman" w:hAnsi="Times New Roman" w:cs="Times New Roman"/>
          <w:sz w:val="24"/>
          <w:szCs w:val="24"/>
        </w:rPr>
        <w:t xml:space="preserve">ies by investing in a fund </w:t>
      </w:r>
      <w:r w:rsidRPr="005E3083">
        <w:rPr>
          <w:rFonts w:ascii="Times New Roman" w:hAnsi="Times New Roman" w:cs="Times New Roman"/>
          <w:sz w:val="24"/>
          <w:szCs w:val="24"/>
        </w:rPr>
        <w:t>that promise</w:t>
      </w:r>
      <w:r w:rsidR="00572785">
        <w:rPr>
          <w:rFonts w:ascii="Times New Roman" w:hAnsi="Times New Roman" w:cs="Times New Roman"/>
          <w:sz w:val="24"/>
          <w:szCs w:val="24"/>
        </w:rPr>
        <w:t>s</w:t>
      </w:r>
      <w:r w:rsidRPr="005E3083">
        <w:rPr>
          <w:rFonts w:ascii="Times New Roman" w:hAnsi="Times New Roman" w:cs="Times New Roman"/>
          <w:sz w:val="24"/>
          <w:szCs w:val="24"/>
        </w:rPr>
        <w:t xml:space="preserve"> </w:t>
      </w:r>
      <w:r w:rsidR="00572785">
        <w:rPr>
          <w:rFonts w:ascii="Times New Roman" w:hAnsi="Times New Roman" w:cs="Times New Roman"/>
          <w:sz w:val="24"/>
          <w:szCs w:val="24"/>
        </w:rPr>
        <w:t>it</w:t>
      </w:r>
      <w:r w:rsidRPr="005E3083">
        <w:rPr>
          <w:rFonts w:ascii="Times New Roman" w:hAnsi="Times New Roman" w:cs="Times New Roman"/>
          <w:sz w:val="24"/>
          <w:szCs w:val="24"/>
        </w:rPr>
        <w:t xml:space="preserve"> will vote the fund</w:t>
      </w:r>
      <w:r w:rsidR="00572785">
        <w:rPr>
          <w:rFonts w:ascii="Times New Roman" w:hAnsi="Times New Roman" w:cs="Times New Roman"/>
          <w:sz w:val="24"/>
          <w:szCs w:val="24"/>
        </w:rPr>
        <w:t>’</w:t>
      </w:r>
      <w:r w:rsidRPr="005E3083">
        <w:rPr>
          <w:rFonts w:ascii="Times New Roman" w:hAnsi="Times New Roman" w:cs="Times New Roman"/>
          <w:sz w:val="24"/>
          <w:szCs w:val="24"/>
        </w:rPr>
        <w:t>s shares based on certain socially oriented values</w:t>
      </w:r>
      <w:r w:rsidR="00796064">
        <w:rPr>
          <w:rFonts w:ascii="Times New Roman" w:hAnsi="Times New Roman" w:cs="Times New Roman"/>
          <w:sz w:val="24"/>
          <w:szCs w:val="24"/>
        </w:rPr>
        <w:t xml:space="preserve">. </w:t>
      </w:r>
      <w:r w:rsidRPr="005E3083">
        <w:rPr>
          <w:rFonts w:ascii="Times New Roman" w:hAnsi="Times New Roman" w:cs="Times New Roman"/>
          <w:sz w:val="24"/>
          <w:szCs w:val="24"/>
        </w:rPr>
        <w:t xml:space="preserve">Alternatively, if </w:t>
      </w:r>
      <w:r w:rsidR="00572785">
        <w:rPr>
          <w:rFonts w:ascii="Times New Roman" w:hAnsi="Times New Roman" w:cs="Times New Roman"/>
          <w:sz w:val="24"/>
          <w:szCs w:val="24"/>
        </w:rPr>
        <w:t xml:space="preserve">she holds shares of corporations </w:t>
      </w:r>
      <w:r w:rsidRPr="005E3083">
        <w:rPr>
          <w:rFonts w:ascii="Times New Roman" w:hAnsi="Times New Roman" w:cs="Times New Roman"/>
          <w:sz w:val="24"/>
          <w:szCs w:val="24"/>
        </w:rPr>
        <w:t xml:space="preserve">directly, </w:t>
      </w:r>
      <w:r w:rsidR="00572785">
        <w:rPr>
          <w:rFonts w:ascii="Times New Roman" w:hAnsi="Times New Roman" w:cs="Times New Roman"/>
          <w:sz w:val="24"/>
          <w:szCs w:val="24"/>
        </w:rPr>
        <w:t xml:space="preserve">she </w:t>
      </w:r>
      <w:r w:rsidRPr="005E3083">
        <w:rPr>
          <w:rFonts w:ascii="Times New Roman" w:hAnsi="Times New Roman" w:cs="Times New Roman"/>
          <w:sz w:val="24"/>
          <w:szCs w:val="24"/>
        </w:rPr>
        <w:t xml:space="preserve">can give </w:t>
      </w:r>
      <w:r w:rsidR="00572785">
        <w:rPr>
          <w:rFonts w:ascii="Times New Roman" w:hAnsi="Times New Roman" w:cs="Times New Roman"/>
          <w:sz w:val="24"/>
          <w:szCs w:val="24"/>
        </w:rPr>
        <w:t>her</w:t>
      </w:r>
      <w:r w:rsidRPr="005E3083">
        <w:rPr>
          <w:rFonts w:ascii="Times New Roman" w:hAnsi="Times New Roman" w:cs="Times New Roman"/>
          <w:sz w:val="24"/>
          <w:szCs w:val="24"/>
        </w:rPr>
        <w:t xml:space="preserve"> proxy to some voting collective of like-valued investors where an informed expert determines </w:t>
      </w:r>
      <w:r w:rsidR="00316A7C">
        <w:rPr>
          <w:rFonts w:ascii="Times New Roman" w:hAnsi="Times New Roman" w:cs="Times New Roman"/>
          <w:sz w:val="24"/>
          <w:szCs w:val="24"/>
        </w:rPr>
        <w:t>how</w:t>
      </w:r>
      <w:r w:rsidRPr="005E3083">
        <w:rPr>
          <w:rFonts w:ascii="Times New Roman" w:hAnsi="Times New Roman" w:cs="Times New Roman"/>
          <w:sz w:val="24"/>
          <w:szCs w:val="24"/>
        </w:rPr>
        <w:t xml:space="preserve"> </w:t>
      </w:r>
      <w:r w:rsidR="00572785">
        <w:rPr>
          <w:rFonts w:ascii="Times New Roman" w:hAnsi="Times New Roman" w:cs="Times New Roman"/>
          <w:sz w:val="24"/>
          <w:szCs w:val="24"/>
        </w:rPr>
        <w:t xml:space="preserve">these </w:t>
      </w:r>
      <w:r w:rsidRPr="005E3083">
        <w:rPr>
          <w:rFonts w:ascii="Times New Roman" w:hAnsi="Times New Roman" w:cs="Times New Roman"/>
          <w:sz w:val="24"/>
          <w:szCs w:val="24"/>
        </w:rPr>
        <w:t>investors’ shares are voted</w:t>
      </w:r>
      <w:r w:rsidR="00796064">
        <w:rPr>
          <w:rFonts w:ascii="Times New Roman" w:hAnsi="Times New Roman" w:cs="Times New Roman"/>
          <w:sz w:val="24"/>
          <w:szCs w:val="24"/>
        </w:rPr>
        <w:t xml:space="preserve">. </w:t>
      </w:r>
    </w:p>
    <w:p w14:paraId="1EB8316D" w14:textId="330F5389" w:rsidR="0009243D" w:rsidRDefault="00301E1F" w:rsidP="00F355E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9F3E7E" w:rsidRPr="005E3083">
        <w:rPr>
          <w:rFonts w:ascii="Times New Roman" w:hAnsi="Times New Roman" w:cs="Times New Roman"/>
          <w:sz w:val="24"/>
          <w:szCs w:val="24"/>
        </w:rPr>
        <w:t>These devices</w:t>
      </w:r>
      <w:r w:rsidR="00532987">
        <w:rPr>
          <w:rFonts w:ascii="Times New Roman" w:hAnsi="Times New Roman" w:cs="Times New Roman"/>
          <w:sz w:val="24"/>
          <w:szCs w:val="24"/>
        </w:rPr>
        <w:t xml:space="preserve"> of delegation</w:t>
      </w:r>
      <w:r w:rsidR="004A7EC5">
        <w:rPr>
          <w:rFonts w:ascii="Times New Roman" w:hAnsi="Times New Roman" w:cs="Times New Roman"/>
          <w:sz w:val="24"/>
          <w:szCs w:val="24"/>
        </w:rPr>
        <w:t xml:space="preserve">, even if they </w:t>
      </w:r>
      <w:r w:rsidR="00532987">
        <w:rPr>
          <w:rFonts w:ascii="Times New Roman" w:hAnsi="Times New Roman" w:cs="Times New Roman"/>
          <w:sz w:val="24"/>
          <w:szCs w:val="24"/>
        </w:rPr>
        <w:t xml:space="preserve">solved </w:t>
      </w:r>
      <w:r w:rsidR="004A7EC5">
        <w:rPr>
          <w:rFonts w:ascii="Times New Roman" w:hAnsi="Times New Roman" w:cs="Times New Roman"/>
          <w:sz w:val="24"/>
          <w:szCs w:val="24"/>
        </w:rPr>
        <w:t xml:space="preserve">perfectly </w:t>
      </w:r>
      <w:r w:rsidR="009E1620">
        <w:rPr>
          <w:rFonts w:ascii="Times New Roman" w:hAnsi="Times New Roman" w:cs="Times New Roman"/>
          <w:sz w:val="24"/>
          <w:szCs w:val="24"/>
        </w:rPr>
        <w:t xml:space="preserve">the problem of individual investor ignorance, </w:t>
      </w:r>
      <w:r w:rsidR="00532987">
        <w:rPr>
          <w:rFonts w:ascii="Times New Roman" w:hAnsi="Times New Roman" w:cs="Times New Roman"/>
          <w:sz w:val="24"/>
          <w:szCs w:val="24"/>
        </w:rPr>
        <w:t xml:space="preserve">will not, </w:t>
      </w:r>
      <w:r w:rsidR="004A7EC5">
        <w:rPr>
          <w:rFonts w:ascii="Times New Roman" w:hAnsi="Times New Roman" w:cs="Times New Roman"/>
          <w:sz w:val="24"/>
          <w:szCs w:val="24"/>
        </w:rPr>
        <w:t>however,</w:t>
      </w:r>
      <w:r w:rsidR="009F3E7E" w:rsidRPr="005E3083">
        <w:rPr>
          <w:rFonts w:ascii="Times New Roman" w:hAnsi="Times New Roman" w:cs="Times New Roman"/>
          <w:sz w:val="24"/>
          <w:szCs w:val="24"/>
        </w:rPr>
        <w:t xml:space="preserve"> </w:t>
      </w:r>
      <w:r w:rsidR="00532987">
        <w:rPr>
          <w:rFonts w:ascii="Times New Roman" w:hAnsi="Times New Roman" w:cs="Times New Roman"/>
          <w:sz w:val="24"/>
          <w:szCs w:val="24"/>
        </w:rPr>
        <w:t>likely</w:t>
      </w:r>
      <w:r w:rsidR="009F3E7E" w:rsidRPr="005E3083">
        <w:rPr>
          <w:rFonts w:ascii="Times New Roman" w:hAnsi="Times New Roman" w:cs="Times New Roman"/>
          <w:sz w:val="24"/>
          <w:szCs w:val="24"/>
        </w:rPr>
        <w:t xml:space="preserve"> solve the transmission belt problem</w:t>
      </w:r>
      <w:r w:rsidR="00796064">
        <w:rPr>
          <w:rFonts w:ascii="Times New Roman" w:hAnsi="Times New Roman" w:cs="Times New Roman"/>
          <w:sz w:val="24"/>
          <w:szCs w:val="24"/>
        </w:rPr>
        <w:t xml:space="preserve">. </w:t>
      </w:r>
      <w:r w:rsidR="009F3E7E" w:rsidRPr="005E3083">
        <w:rPr>
          <w:rFonts w:ascii="Times New Roman" w:hAnsi="Times New Roman" w:cs="Times New Roman"/>
          <w:sz w:val="24"/>
          <w:szCs w:val="24"/>
        </w:rPr>
        <w:t xml:space="preserve">Under current corporate governance arrangements, the key matter subject to </w:t>
      </w:r>
      <w:r w:rsidR="00572785">
        <w:rPr>
          <w:rFonts w:ascii="Times New Roman" w:hAnsi="Times New Roman" w:cs="Times New Roman"/>
          <w:sz w:val="24"/>
          <w:szCs w:val="24"/>
        </w:rPr>
        <w:t xml:space="preserve">a </w:t>
      </w:r>
      <w:r w:rsidR="009F3E7E" w:rsidRPr="005E3083">
        <w:rPr>
          <w:rFonts w:ascii="Times New Roman" w:hAnsi="Times New Roman" w:cs="Times New Roman"/>
          <w:sz w:val="24"/>
          <w:szCs w:val="24"/>
        </w:rPr>
        <w:t>shareholder vote is the choice of directors</w:t>
      </w:r>
      <w:r w:rsidR="00796064">
        <w:rPr>
          <w:rFonts w:ascii="Times New Roman" w:hAnsi="Times New Roman" w:cs="Times New Roman"/>
          <w:sz w:val="24"/>
          <w:szCs w:val="24"/>
        </w:rPr>
        <w:t xml:space="preserve">. </w:t>
      </w:r>
      <w:r w:rsidR="00572785">
        <w:rPr>
          <w:rFonts w:ascii="Times New Roman" w:hAnsi="Times New Roman" w:cs="Times New Roman"/>
          <w:sz w:val="24"/>
          <w:szCs w:val="24"/>
        </w:rPr>
        <w:t xml:space="preserve">Once a year there is the </w:t>
      </w:r>
      <w:r w:rsidR="00532987">
        <w:rPr>
          <w:rFonts w:ascii="Times New Roman" w:hAnsi="Times New Roman" w:cs="Times New Roman"/>
          <w:sz w:val="24"/>
          <w:szCs w:val="24"/>
        </w:rPr>
        <w:t xml:space="preserve">single act of </w:t>
      </w:r>
      <w:r w:rsidR="00315945">
        <w:rPr>
          <w:rFonts w:ascii="Times New Roman" w:hAnsi="Times New Roman" w:cs="Times New Roman"/>
          <w:sz w:val="24"/>
          <w:szCs w:val="24"/>
        </w:rPr>
        <w:t>vot</w:t>
      </w:r>
      <w:r w:rsidR="00532987">
        <w:rPr>
          <w:rFonts w:ascii="Times New Roman" w:hAnsi="Times New Roman" w:cs="Times New Roman"/>
          <w:sz w:val="24"/>
          <w:szCs w:val="24"/>
        </w:rPr>
        <w:t>ing yes or no for at most a handful of director candidates</w:t>
      </w:r>
      <w:r w:rsidR="00572785">
        <w:rPr>
          <w:rFonts w:ascii="Times New Roman" w:hAnsi="Times New Roman" w:cs="Times New Roman"/>
          <w:sz w:val="24"/>
          <w:szCs w:val="24"/>
        </w:rPr>
        <w:t xml:space="preserve">. </w:t>
      </w:r>
      <w:r w:rsidR="00D24B59">
        <w:rPr>
          <w:rFonts w:ascii="Times New Roman" w:hAnsi="Times New Roman" w:cs="Times New Roman"/>
          <w:sz w:val="24"/>
          <w:szCs w:val="24"/>
        </w:rPr>
        <w:t xml:space="preserve">This process is unlikely to result in a choice of directors who will </w:t>
      </w:r>
      <w:r w:rsidR="008863B9">
        <w:rPr>
          <w:rFonts w:ascii="Times New Roman" w:hAnsi="Times New Roman" w:cs="Times New Roman"/>
          <w:sz w:val="24"/>
          <w:szCs w:val="24"/>
        </w:rPr>
        <w:t>in</w:t>
      </w:r>
      <w:r w:rsidR="00D24B59">
        <w:rPr>
          <w:rFonts w:ascii="Times New Roman" w:hAnsi="Times New Roman" w:cs="Times New Roman"/>
          <w:sz w:val="24"/>
          <w:szCs w:val="24"/>
        </w:rPr>
        <w:t xml:space="preserve"> turn go on to </w:t>
      </w:r>
      <w:r w:rsidR="00896C57">
        <w:rPr>
          <w:rFonts w:ascii="Times New Roman" w:hAnsi="Times New Roman" w:cs="Times New Roman"/>
          <w:sz w:val="24"/>
          <w:szCs w:val="24"/>
        </w:rPr>
        <w:t xml:space="preserve">alter a corporation’s behavior </w:t>
      </w:r>
      <w:r w:rsidR="00D24B59">
        <w:rPr>
          <w:rFonts w:ascii="Times New Roman" w:hAnsi="Times New Roman" w:cs="Times New Roman"/>
          <w:sz w:val="24"/>
          <w:szCs w:val="24"/>
        </w:rPr>
        <w:t xml:space="preserve">that comes anywhere close </w:t>
      </w:r>
      <w:r w:rsidR="00896C57">
        <w:rPr>
          <w:rFonts w:ascii="Times New Roman" w:hAnsi="Times New Roman" w:cs="Times New Roman"/>
          <w:sz w:val="24"/>
          <w:szCs w:val="24"/>
        </w:rPr>
        <w:t xml:space="preserve">to </w:t>
      </w:r>
      <w:r w:rsidR="00315945">
        <w:rPr>
          <w:rFonts w:ascii="Times New Roman" w:hAnsi="Times New Roman" w:cs="Times New Roman"/>
          <w:sz w:val="24"/>
          <w:szCs w:val="24"/>
        </w:rPr>
        <w:t>reflect</w:t>
      </w:r>
      <w:r w:rsidR="00D24B59">
        <w:rPr>
          <w:rFonts w:ascii="Times New Roman" w:hAnsi="Times New Roman" w:cs="Times New Roman"/>
          <w:sz w:val="24"/>
          <w:szCs w:val="24"/>
        </w:rPr>
        <w:t>ing</w:t>
      </w:r>
      <w:r w:rsidR="00315945">
        <w:rPr>
          <w:rFonts w:ascii="Times New Roman" w:hAnsi="Times New Roman" w:cs="Times New Roman"/>
          <w:sz w:val="24"/>
          <w:szCs w:val="24"/>
        </w:rPr>
        <w:t xml:space="preserve"> what</w:t>
      </w:r>
      <w:r w:rsidR="00896C57">
        <w:rPr>
          <w:rFonts w:ascii="Times New Roman" w:hAnsi="Times New Roman" w:cs="Times New Roman"/>
          <w:sz w:val="24"/>
          <w:szCs w:val="24"/>
        </w:rPr>
        <w:t xml:space="preserve"> would be preferred by the beneficial holders of a majority of its shares if each such investor were fully informed as to the negative impacts of the activity and the degrees of deviation from share value maximization needed to achieve different degrees of alleviation</w:t>
      </w:r>
      <w:r w:rsidR="00796064">
        <w:rPr>
          <w:rFonts w:ascii="Times New Roman" w:hAnsi="Times New Roman" w:cs="Times New Roman"/>
          <w:sz w:val="24"/>
          <w:szCs w:val="24"/>
        </w:rPr>
        <w:t xml:space="preserve">. </w:t>
      </w:r>
      <w:r w:rsidR="00896C57">
        <w:rPr>
          <w:rFonts w:ascii="Times New Roman" w:hAnsi="Times New Roman" w:cs="Times New Roman"/>
          <w:sz w:val="24"/>
          <w:szCs w:val="24"/>
        </w:rPr>
        <w:t xml:space="preserve">To start, </w:t>
      </w:r>
      <w:r w:rsidR="00630877">
        <w:rPr>
          <w:rFonts w:ascii="Times New Roman" w:hAnsi="Times New Roman" w:cs="Times New Roman"/>
          <w:sz w:val="24"/>
          <w:szCs w:val="24"/>
        </w:rPr>
        <w:t xml:space="preserve">a critical consideration in deciding whether or not to vote for a particular candidate will be </w:t>
      </w:r>
      <w:r w:rsidR="009F3E7E" w:rsidRPr="005E3083">
        <w:rPr>
          <w:rFonts w:ascii="Times New Roman" w:hAnsi="Times New Roman" w:cs="Times New Roman"/>
          <w:sz w:val="24"/>
          <w:szCs w:val="24"/>
        </w:rPr>
        <w:t>the traditional one of wh</w:t>
      </w:r>
      <w:r w:rsidR="00630877">
        <w:rPr>
          <w:rFonts w:ascii="Times New Roman" w:hAnsi="Times New Roman" w:cs="Times New Roman"/>
          <w:sz w:val="24"/>
          <w:szCs w:val="24"/>
        </w:rPr>
        <w:t xml:space="preserve">ether the candidate </w:t>
      </w:r>
      <w:r w:rsidR="009F3E7E" w:rsidRPr="005E3083">
        <w:rPr>
          <w:rFonts w:ascii="Times New Roman" w:hAnsi="Times New Roman" w:cs="Times New Roman"/>
          <w:sz w:val="24"/>
          <w:szCs w:val="24"/>
        </w:rPr>
        <w:t xml:space="preserve">would be </w:t>
      </w:r>
      <w:r w:rsidR="00630877">
        <w:rPr>
          <w:rFonts w:ascii="Times New Roman" w:hAnsi="Times New Roman" w:cs="Times New Roman"/>
          <w:sz w:val="24"/>
          <w:szCs w:val="24"/>
        </w:rPr>
        <w:t xml:space="preserve">good at </w:t>
      </w:r>
      <w:r w:rsidR="009F3E7E" w:rsidRPr="005E3083">
        <w:rPr>
          <w:rFonts w:ascii="Times New Roman" w:hAnsi="Times New Roman" w:cs="Times New Roman"/>
          <w:sz w:val="24"/>
          <w:szCs w:val="24"/>
        </w:rPr>
        <w:t>supervising the productive running of the firm</w:t>
      </w:r>
      <w:r w:rsidR="00630877">
        <w:rPr>
          <w:rFonts w:ascii="Times New Roman" w:hAnsi="Times New Roman" w:cs="Times New Roman"/>
          <w:sz w:val="24"/>
          <w:szCs w:val="24"/>
        </w:rPr>
        <w:t>, a question unrelated to these social issues</w:t>
      </w:r>
      <w:r w:rsidR="00796064">
        <w:rPr>
          <w:rFonts w:ascii="Times New Roman" w:hAnsi="Times New Roman" w:cs="Times New Roman"/>
          <w:sz w:val="24"/>
          <w:szCs w:val="24"/>
        </w:rPr>
        <w:t xml:space="preserve">. </w:t>
      </w:r>
      <w:r w:rsidR="009E1620">
        <w:rPr>
          <w:rFonts w:ascii="Times New Roman" w:hAnsi="Times New Roman" w:cs="Times New Roman"/>
          <w:sz w:val="24"/>
          <w:szCs w:val="24"/>
        </w:rPr>
        <w:t>When it comes to social issues, m</w:t>
      </w:r>
      <w:r w:rsidR="00C57D08">
        <w:rPr>
          <w:rFonts w:ascii="Times New Roman" w:hAnsi="Times New Roman" w:cs="Times New Roman"/>
          <w:sz w:val="24"/>
          <w:szCs w:val="24"/>
        </w:rPr>
        <w:t xml:space="preserve">any of a corporation’s activities will result in </w:t>
      </w:r>
      <w:r w:rsidR="002F378B">
        <w:rPr>
          <w:rFonts w:ascii="Times New Roman" w:hAnsi="Times New Roman" w:cs="Times New Roman"/>
          <w:sz w:val="24"/>
          <w:szCs w:val="24"/>
        </w:rPr>
        <w:t xml:space="preserve">one or more </w:t>
      </w:r>
      <w:r w:rsidR="00C57D08">
        <w:rPr>
          <w:rFonts w:ascii="Times New Roman" w:hAnsi="Times New Roman" w:cs="Times New Roman"/>
          <w:sz w:val="24"/>
          <w:szCs w:val="24"/>
        </w:rPr>
        <w:t>kinds of harm to at least some members of society</w:t>
      </w:r>
      <w:r w:rsidR="00796064">
        <w:rPr>
          <w:rFonts w:ascii="Times New Roman" w:hAnsi="Times New Roman" w:cs="Times New Roman"/>
          <w:sz w:val="24"/>
          <w:szCs w:val="24"/>
        </w:rPr>
        <w:t xml:space="preserve">. </w:t>
      </w:r>
      <w:r w:rsidR="00532987">
        <w:rPr>
          <w:rFonts w:ascii="Times New Roman" w:hAnsi="Times New Roman" w:cs="Times New Roman"/>
          <w:sz w:val="24"/>
          <w:szCs w:val="24"/>
        </w:rPr>
        <w:t>C</w:t>
      </w:r>
      <w:r w:rsidR="002F378B">
        <w:rPr>
          <w:rFonts w:ascii="Times New Roman" w:hAnsi="Times New Roman" w:cs="Times New Roman"/>
          <w:sz w:val="24"/>
          <w:szCs w:val="24"/>
        </w:rPr>
        <w:t xml:space="preserve">hanges in corporate behavior </w:t>
      </w:r>
      <w:r w:rsidR="00532987">
        <w:rPr>
          <w:rFonts w:ascii="Times New Roman" w:hAnsi="Times New Roman" w:cs="Times New Roman"/>
          <w:sz w:val="24"/>
          <w:szCs w:val="24"/>
        </w:rPr>
        <w:t xml:space="preserve">may be able to </w:t>
      </w:r>
      <w:r w:rsidR="002F378B">
        <w:rPr>
          <w:rFonts w:ascii="Times New Roman" w:hAnsi="Times New Roman" w:cs="Times New Roman"/>
          <w:sz w:val="24"/>
          <w:szCs w:val="24"/>
        </w:rPr>
        <w:t xml:space="preserve">alleviate </w:t>
      </w:r>
      <w:r w:rsidR="00532987">
        <w:rPr>
          <w:rFonts w:ascii="Times New Roman" w:hAnsi="Times New Roman" w:cs="Times New Roman"/>
          <w:sz w:val="24"/>
          <w:szCs w:val="24"/>
        </w:rPr>
        <w:t xml:space="preserve">each such </w:t>
      </w:r>
      <w:r w:rsidR="00D65386">
        <w:rPr>
          <w:rFonts w:ascii="Times New Roman" w:hAnsi="Times New Roman" w:cs="Times New Roman"/>
          <w:sz w:val="24"/>
          <w:szCs w:val="24"/>
        </w:rPr>
        <w:t>kind of harm t</w:t>
      </w:r>
      <w:r w:rsidR="002F378B">
        <w:rPr>
          <w:rFonts w:ascii="Times New Roman" w:hAnsi="Times New Roman" w:cs="Times New Roman"/>
          <w:sz w:val="24"/>
          <w:szCs w:val="24"/>
        </w:rPr>
        <w:t xml:space="preserve">o one extent or another, with a greater deviation from share value maximization required </w:t>
      </w:r>
      <w:r w:rsidR="004A7EC5">
        <w:rPr>
          <w:rFonts w:ascii="Times New Roman" w:hAnsi="Times New Roman" w:cs="Times New Roman"/>
          <w:sz w:val="24"/>
          <w:szCs w:val="24"/>
        </w:rPr>
        <w:t>for a greater amount of alleviation.</w:t>
      </w:r>
      <w:r w:rsidR="004A7EC5">
        <w:rPr>
          <w:rStyle w:val="FootnoteReference"/>
          <w:rFonts w:ascii="Times New Roman" w:hAnsi="Times New Roman" w:cs="Times New Roman"/>
          <w:sz w:val="24"/>
          <w:szCs w:val="24"/>
        </w:rPr>
        <w:footnoteReference w:id="45"/>
      </w:r>
      <w:r w:rsidR="004A7EC5">
        <w:rPr>
          <w:rFonts w:ascii="Times New Roman" w:hAnsi="Times New Roman" w:cs="Times New Roman"/>
          <w:sz w:val="24"/>
          <w:szCs w:val="24"/>
        </w:rPr>
        <w:t xml:space="preserve"> </w:t>
      </w:r>
      <w:r w:rsidR="00D65386">
        <w:rPr>
          <w:rFonts w:ascii="Times New Roman" w:hAnsi="Times New Roman" w:cs="Times New Roman"/>
          <w:sz w:val="24"/>
          <w:szCs w:val="24"/>
        </w:rPr>
        <w:t>E</w:t>
      </w:r>
      <w:r w:rsidR="004B674D">
        <w:rPr>
          <w:rFonts w:ascii="Times New Roman" w:hAnsi="Times New Roman" w:cs="Times New Roman"/>
          <w:sz w:val="24"/>
          <w:szCs w:val="24"/>
        </w:rPr>
        <w:t xml:space="preserve">ach equity investor in the </w:t>
      </w:r>
      <w:r w:rsidR="004B674D">
        <w:rPr>
          <w:rFonts w:ascii="Times New Roman" w:hAnsi="Times New Roman" w:cs="Times New Roman"/>
          <w:sz w:val="24"/>
          <w:szCs w:val="24"/>
        </w:rPr>
        <w:lastRenderedPageBreak/>
        <w:t xml:space="preserve">corporation </w:t>
      </w:r>
      <w:r w:rsidR="00564968">
        <w:rPr>
          <w:rFonts w:ascii="Times New Roman" w:hAnsi="Times New Roman" w:cs="Times New Roman"/>
          <w:sz w:val="24"/>
          <w:szCs w:val="24"/>
        </w:rPr>
        <w:t>c</w:t>
      </w:r>
      <w:r w:rsidR="004B674D">
        <w:rPr>
          <w:rFonts w:ascii="Times New Roman" w:hAnsi="Times New Roman" w:cs="Times New Roman"/>
          <w:sz w:val="24"/>
          <w:szCs w:val="24"/>
        </w:rPr>
        <w:t>ould, if fully informed as to the negative impacts of the activity and the degrees of deviation from share value maximization need</w:t>
      </w:r>
      <w:r w:rsidR="00D24B59">
        <w:rPr>
          <w:rFonts w:ascii="Times New Roman" w:hAnsi="Times New Roman" w:cs="Times New Roman"/>
          <w:sz w:val="24"/>
          <w:szCs w:val="24"/>
        </w:rPr>
        <w:t>ed</w:t>
      </w:r>
      <w:r w:rsidR="004B674D">
        <w:rPr>
          <w:rFonts w:ascii="Times New Roman" w:hAnsi="Times New Roman" w:cs="Times New Roman"/>
          <w:sz w:val="24"/>
          <w:szCs w:val="24"/>
        </w:rPr>
        <w:t xml:space="preserve"> to achieve different degrees of alleviation, have </w:t>
      </w:r>
      <w:r w:rsidR="00D65386">
        <w:rPr>
          <w:rFonts w:ascii="Times New Roman" w:hAnsi="Times New Roman" w:cs="Times New Roman"/>
          <w:sz w:val="24"/>
          <w:szCs w:val="24"/>
        </w:rPr>
        <w:t xml:space="preserve">a preference as to </w:t>
      </w:r>
      <w:r w:rsidR="00D24B59">
        <w:rPr>
          <w:rFonts w:ascii="Times New Roman" w:hAnsi="Times New Roman" w:cs="Times New Roman"/>
          <w:sz w:val="24"/>
          <w:szCs w:val="24"/>
        </w:rPr>
        <w:t xml:space="preserve">how </w:t>
      </w:r>
      <w:r w:rsidR="004B674D">
        <w:rPr>
          <w:rFonts w:ascii="Times New Roman" w:hAnsi="Times New Roman" w:cs="Times New Roman"/>
          <w:sz w:val="24"/>
          <w:szCs w:val="24"/>
        </w:rPr>
        <w:t>much</w:t>
      </w:r>
      <w:r w:rsidR="00564968">
        <w:rPr>
          <w:rFonts w:ascii="Times New Roman" w:hAnsi="Times New Roman" w:cs="Times New Roman"/>
          <w:sz w:val="24"/>
          <w:szCs w:val="24"/>
        </w:rPr>
        <w:t>, if at all,</w:t>
      </w:r>
      <w:r w:rsidR="004B674D">
        <w:rPr>
          <w:rFonts w:ascii="Times New Roman" w:hAnsi="Times New Roman" w:cs="Times New Roman"/>
          <w:sz w:val="24"/>
          <w:szCs w:val="24"/>
        </w:rPr>
        <w:t xml:space="preserve"> he would want the corporation to deviate</w:t>
      </w:r>
      <w:r w:rsidR="00796064">
        <w:rPr>
          <w:rFonts w:ascii="Times New Roman" w:hAnsi="Times New Roman" w:cs="Times New Roman"/>
          <w:sz w:val="24"/>
          <w:szCs w:val="24"/>
        </w:rPr>
        <w:t xml:space="preserve">. </w:t>
      </w:r>
      <w:r w:rsidR="004B674D">
        <w:rPr>
          <w:rFonts w:ascii="Times New Roman" w:hAnsi="Times New Roman" w:cs="Times New Roman"/>
          <w:sz w:val="24"/>
          <w:szCs w:val="24"/>
        </w:rPr>
        <w:t xml:space="preserve">Some </w:t>
      </w:r>
      <w:r w:rsidR="00D65386">
        <w:rPr>
          <w:rFonts w:ascii="Times New Roman" w:hAnsi="Times New Roman" w:cs="Times New Roman"/>
          <w:sz w:val="24"/>
          <w:szCs w:val="24"/>
        </w:rPr>
        <w:t xml:space="preserve">investors </w:t>
      </w:r>
      <w:r w:rsidR="004B674D">
        <w:rPr>
          <w:rFonts w:ascii="Times New Roman" w:hAnsi="Times New Roman" w:cs="Times New Roman"/>
          <w:sz w:val="24"/>
          <w:szCs w:val="24"/>
        </w:rPr>
        <w:t xml:space="preserve">would want no deviation, others </w:t>
      </w:r>
      <w:r w:rsidR="00564968">
        <w:rPr>
          <w:rFonts w:ascii="Times New Roman" w:hAnsi="Times New Roman" w:cs="Times New Roman"/>
          <w:sz w:val="24"/>
          <w:szCs w:val="24"/>
        </w:rPr>
        <w:t xml:space="preserve">would find the </w:t>
      </w:r>
      <w:r w:rsidR="00D65386">
        <w:rPr>
          <w:rFonts w:ascii="Times New Roman" w:hAnsi="Times New Roman" w:cs="Times New Roman"/>
          <w:sz w:val="24"/>
          <w:szCs w:val="24"/>
        </w:rPr>
        <w:t xml:space="preserve">amount of </w:t>
      </w:r>
      <w:r w:rsidR="00564968">
        <w:rPr>
          <w:rFonts w:ascii="Times New Roman" w:hAnsi="Times New Roman" w:cs="Times New Roman"/>
          <w:sz w:val="24"/>
          <w:szCs w:val="24"/>
        </w:rPr>
        <w:t xml:space="preserve">alleviation accomplished by </w:t>
      </w:r>
      <w:r w:rsidR="004B674D">
        <w:rPr>
          <w:rFonts w:ascii="Times New Roman" w:hAnsi="Times New Roman" w:cs="Times New Roman"/>
          <w:sz w:val="24"/>
          <w:szCs w:val="24"/>
        </w:rPr>
        <w:t xml:space="preserve">a modest deviation </w:t>
      </w:r>
      <w:r w:rsidR="00564968">
        <w:rPr>
          <w:rFonts w:ascii="Times New Roman" w:hAnsi="Times New Roman" w:cs="Times New Roman"/>
          <w:sz w:val="24"/>
          <w:szCs w:val="24"/>
        </w:rPr>
        <w:t xml:space="preserve">worthwhile but not more, </w:t>
      </w:r>
      <w:r w:rsidR="004B674D">
        <w:rPr>
          <w:rFonts w:ascii="Times New Roman" w:hAnsi="Times New Roman" w:cs="Times New Roman"/>
          <w:sz w:val="24"/>
          <w:szCs w:val="24"/>
        </w:rPr>
        <w:t xml:space="preserve">and yet </w:t>
      </w:r>
      <w:r w:rsidR="00CC5C6C">
        <w:rPr>
          <w:rFonts w:ascii="Times New Roman" w:hAnsi="Times New Roman" w:cs="Times New Roman"/>
          <w:sz w:val="24"/>
          <w:szCs w:val="24"/>
        </w:rPr>
        <w:t xml:space="preserve">others would find </w:t>
      </w:r>
      <w:r w:rsidR="0009243D">
        <w:rPr>
          <w:rFonts w:ascii="Times New Roman" w:hAnsi="Times New Roman" w:cs="Times New Roman"/>
          <w:sz w:val="24"/>
          <w:szCs w:val="24"/>
        </w:rPr>
        <w:t xml:space="preserve">worthwhile a </w:t>
      </w:r>
      <w:r w:rsidR="00CC5C6C">
        <w:rPr>
          <w:rFonts w:ascii="Times New Roman" w:hAnsi="Times New Roman" w:cs="Times New Roman"/>
          <w:sz w:val="24"/>
          <w:szCs w:val="24"/>
        </w:rPr>
        <w:t>greater deviation</w:t>
      </w:r>
      <w:r w:rsidR="0009243D">
        <w:rPr>
          <w:rFonts w:ascii="Times New Roman" w:hAnsi="Times New Roman" w:cs="Times New Roman"/>
          <w:sz w:val="24"/>
          <w:szCs w:val="24"/>
        </w:rPr>
        <w:t>, with its greater alleviation</w:t>
      </w:r>
      <w:r w:rsidR="00796064">
        <w:rPr>
          <w:rFonts w:ascii="Times New Roman" w:hAnsi="Times New Roman" w:cs="Times New Roman"/>
          <w:sz w:val="24"/>
          <w:szCs w:val="24"/>
        </w:rPr>
        <w:t xml:space="preserve">. </w:t>
      </w:r>
      <w:r w:rsidR="009F3E7E" w:rsidRPr="005E3083">
        <w:rPr>
          <w:rFonts w:ascii="Times New Roman" w:hAnsi="Times New Roman" w:cs="Times New Roman"/>
          <w:sz w:val="24"/>
          <w:szCs w:val="24"/>
        </w:rPr>
        <w:t xml:space="preserve">  </w:t>
      </w:r>
    </w:p>
    <w:p w14:paraId="23D6CE15" w14:textId="21D5793A" w:rsidR="009F3E7E" w:rsidRPr="005E3083" w:rsidRDefault="0009243D" w:rsidP="00F355E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9058B6">
        <w:rPr>
          <w:rFonts w:ascii="Times New Roman" w:hAnsi="Times New Roman" w:cs="Times New Roman"/>
          <w:sz w:val="24"/>
          <w:szCs w:val="24"/>
        </w:rPr>
        <w:t>The problem</w:t>
      </w:r>
      <w:r w:rsidR="00D65386">
        <w:rPr>
          <w:rFonts w:ascii="Times New Roman" w:hAnsi="Times New Roman" w:cs="Times New Roman"/>
          <w:sz w:val="24"/>
          <w:szCs w:val="24"/>
        </w:rPr>
        <w:t xml:space="preserve">, though, </w:t>
      </w:r>
      <w:r w:rsidRPr="009058B6">
        <w:rPr>
          <w:rFonts w:ascii="Times New Roman" w:hAnsi="Times New Roman" w:cs="Times New Roman"/>
          <w:sz w:val="24"/>
          <w:szCs w:val="24"/>
        </w:rPr>
        <w:t xml:space="preserve">goes beyond </w:t>
      </w:r>
      <w:r w:rsidR="00D24B59">
        <w:rPr>
          <w:rFonts w:ascii="Times New Roman" w:hAnsi="Times New Roman" w:cs="Times New Roman"/>
          <w:sz w:val="24"/>
          <w:szCs w:val="24"/>
        </w:rPr>
        <w:t xml:space="preserve">differences among </w:t>
      </w:r>
      <w:r w:rsidRPr="009058B6">
        <w:rPr>
          <w:rFonts w:ascii="Times New Roman" w:hAnsi="Times New Roman" w:cs="Times New Roman"/>
          <w:sz w:val="24"/>
          <w:szCs w:val="24"/>
        </w:rPr>
        <w:t xml:space="preserve">equity investors in whether or not they want the firm to deviate from maximizing share value to further </w:t>
      </w:r>
      <w:r w:rsidR="00D24B59">
        <w:rPr>
          <w:rFonts w:ascii="Times New Roman" w:hAnsi="Times New Roman" w:cs="Times New Roman"/>
          <w:sz w:val="24"/>
          <w:szCs w:val="24"/>
        </w:rPr>
        <w:t>some</w:t>
      </w:r>
      <w:r w:rsidRPr="009058B6">
        <w:rPr>
          <w:rFonts w:ascii="Times New Roman" w:hAnsi="Times New Roman" w:cs="Times New Roman"/>
          <w:sz w:val="24"/>
          <w:szCs w:val="24"/>
        </w:rPr>
        <w:t xml:space="preserve"> given end and, for those who do, by how much. For some of the social issues that excite the most passion, </w:t>
      </w:r>
      <w:r w:rsidR="00D24B59">
        <w:rPr>
          <w:rFonts w:ascii="Times New Roman" w:hAnsi="Times New Roman" w:cs="Times New Roman"/>
          <w:sz w:val="24"/>
          <w:szCs w:val="24"/>
        </w:rPr>
        <w:t xml:space="preserve">there will be </w:t>
      </w:r>
      <w:r w:rsidRPr="009058B6">
        <w:rPr>
          <w:rFonts w:ascii="Times New Roman" w:hAnsi="Times New Roman" w:cs="Times New Roman"/>
          <w:sz w:val="24"/>
          <w:szCs w:val="24"/>
        </w:rPr>
        <w:t xml:space="preserve">investors </w:t>
      </w:r>
      <w:r w:rsidR="00D24B59">
        <w:rPr>
          <w:rFonts w:ascii="Times New Roman" w:hAnsi="Times New Roman" w:cs="Times New Roman"/>
          <w:sz w:val="24"/>
          <w:szCs w:val="24"/>
        </w:rPr>
        <w:t xml:space="preserve">who </w:t>
      </w:r>
      <w:r w:rsidRPr="009058B6">
        <w:rPr>
          <w:rFonts w:ascii="Times New Roman" w:hAnsi="Times New Roman" w:cs="Times New Roman"/>
          <w:sz w:val="24"/>
          <w:szCs w:val="24"/>
        </w:rPr>
        <w:t xml:space="preserve">will want to deviate to promote a given social end and others will actively oppose this end and want the corporation to deviate </w:t>
      </w:r>
      <w:r w:rsidR="00D65386">
        <w:rPr>
          <w:rFonts w:ascii="Times New Roman" w:hAnsi="Times New Roman" w:cs="Times New Roman"/>
          <w:sz w:val="24"/>
          <w:szCs w:val="24"/>
        </w:rPr>
        <w:t xml:space="preserve">from share value maximization </w:t>
      </w:r>
      <w:r w:rsidRPr="009058B6">
        <w:rPr>
          <w:rFonts w:ascii="Times New Roman" w:hAnsi="Times New Roman" w:cs="Times New Roman"/>
          <w:sz w:val="24"/>
          <w:szCs w:val="24"/>
        </w:rPr>
        <w:t>in the opposite direction</w:t>
      </w:r>
      <w:r w:rsidR="009F3E7E" w:rsidRPr="005E3083">
        <w:rPr>
          <w:rFonts w:ascii="Times New Roman" w:hAnsi="Times New Roman" w:cs="Times New Roman"/>
          <w:sz w:val="24"/>
          <w:szCs w:val="24"/>
        </w:rPr>
        <w:t>.</w:t>
      </w:r>
      <w:r w:rsidR="009F3E7E" w:rsidRPr="005E3083">
        <w:rPr>
          <w:rStyle w:val="FootnoteReference"/>
          <w:rFonts w:ascii="Times New Roman" w:hAnsi="Times New Roman" w:cs="Times New Roman"/>
          <w:sz w:val="24"/>
          <w:szCs w:val="24"/>
        </w:rPr>
        <w:footnoteReference w:id="46"/>
      </w:r>
      <w:r w:rsidR="009F3E7E" w:rsidRPr="005E3083">
        <w:rPr>
          <w:rFonts w:ascii="Times New Roman" w:hAnsi="Times New Roman" w:cs="Times New Roman"/>
          <w:sz w:val="24"/>
          <w:szCs w:val="24"/>
        </w:rPr>
        <w:t xml:space="preserve">  </w:t>
      </w:r>
    </w:p>
    <w:p w14:paraId="02ACC9C8" w14:textId="48EB843B" w:rsidR="009F3E7E" w:rsidRPr="005E3083" w:rsidRDefault="009F3E7E" w:rsidP="00F355E2">
      <w:pPr>
        <w:spacing w:after="0" w:line="480" w:lineRule="auto"/>
        <w:jc w:val="both"/>
        <w:rPr>
          <w:rFonts w:ascii="Times New Roman" w:hAnsi="Times New Roman" w:cs="Times New Roman"/>
          <w:sz w:val="24"/>
          <w:szCs w:val="24"/>
        </w:rPr>
      </w:pPr>
      <w:r w:rsidRPr="005E3083">
        <w:rPr>
          <w:rFonts w:ascii="Times New Roman" w:hAnsi="Times New Roman" w:cs="Times New Roman"/>
          <w:sz w:val="24"/>
          <w:szCs w:val="24"/>
        </w:rPr>
        <w:tab/>
        <w:t xml:space="preserve">Notwithstanding these points, there might be some ends in furtherance of which a deviation from share value maximization up to some certain point would garner the support of the holders of a majority of the equity interests in the firm </w:t>
      </w:r>
      <w:r w:rsidR="00F775C8">
        <w:rPr>
          <w:rFonts w:ascii="Times New Roman" w:hAnsi="Times New Roman" w:cs="Times New Roman"/>
          <w:sz w:val="24"/>
          <w:szCs w:val="24"/>
        </w:rPr>
        <w:t xml:space="preserve">(i.e., the deviation to the extent approved by the median voter on a share-weighted basis) </w:t>
      </w:r>
      <w:r w:rsidRPr="005E3083">
        <w:rPr>
          <w:rFonts w:ascii="Times New Roman" w:hAnsi="Times New Roman" w:cs="Times New Roman"/>
          <w:sz w:val="24"/>
          <w:szCs w:val="24"/>
        </w:rPr>
        <w:t>if they were fully informed as to what the deviation would accomplish and at what cost</w:t>
      </w:r>
      <w:r w:rsidR="00796064">
        <w:rPr>
          <w:rFonts w:ascii="Times New Roman" w:hAnsi="Times New Roman" w:cs="Times New Roman"/>
          <w:sz w:val="24"/>
          <w:szCs w:val="24"/>
        </w:rPr>
        <w:t xml:space="preserve">. </w:t>
      </w:r>
      <w:r w:rsidR="00F70012">
        <w:rPr>
          <w:rFonts w:ascii="Times New Roman" w:hAnsi="Times New Roman" w:cs="Times New Roman"/>
          <w:sz w:val="24"/>
          <w:szCs w:val="24"/>
        </w:rPr>
        <w:t xml:space="preserve"> </w:t>
      </w:r>
      <w:r w:rsidRPr="005E3083">
        <w:rPr>
          <w:rFonts w:ascii="Times New Roman" w:hAnsi="Times New Roman" w:cs="Times New Roman"/>
          <w:sz w:val="24"/>
          <w:szCs w:val="24"/>
        </w:rPr>
        <w:t xml:space="preserve">But </w:t>
      </w:r>
      <w:r w:rsidR="00F70012">
        <w:rPr>
          <w:rFonts w:ascii="Times New Roman" w:hAnsi="Times New Roman" w:cs="Times New Roman"/>
          <w:sz w:val="24"/>
          <w:szCs w:val="24"/>
        </w:rPr>
        <w:t xml:space="preserve">the idea that a fund manager or expert proxyholder could accurately ascertain what the investors they represent would want if the investors themselves had this detailed knowledge is fanciful.  The </w:t>
      </w:r>
      <w:r w:rsidRPr="005E3083">
        <w:rPr>
          <w:rFonts w:ascii="Times New Roman" w:hAnsi="Times New Roman" w:cs="Times New Roman"/>
          <w:sz w:val="24"/>
          <w:szCs w:val="24"/>
        </w:rPr>
        <w:t xml:space="preserve">existence of any such majority is likely to get lost in the noise, particularly given the potentially wide range of issues that the fund manager or expert </w:t>
      </w:r>
      <w:r w:rsidRPr="005E3083">
        <w:rPr>
          <w:rFonts w:ascii="Times New Roman" w:hAnsi="Times New Roman" w:cs="Times New Roman"/>
          <w:sz w:val="24"/>
          <w:szCs w:val="24"/>
        </w:rPr>
        <w:lastRenderedPageBreak/>
        <w:t>proxyholder would needs to consider</w:t>
      </w:r>
      <w:r w:rsidR="00F70012">
        <w:rPr>
          <w:rFonts w:ascii="Times New Roman" w:hAnsi="Times New Roman" w:cs="Times New Roman"/>
          <w:sz w:val="24"/>
          <w:szCs w:val="24"/>
        </w:rPr>
        <w:t xml:space="preserve"> and </w:t>
      </w:r>
      <w:r w:rsidRPr="005E3083">
        <w:rPr>
          <w:rFonts w:ascii="Times New Roman" w:hAnsi="Times New Roman" w:cs="Times New Roman"/>
          <w:sz w:val="24"/>
          <w:szCs w:val="24"/>
        </w:rPr>
        <w:t xml:space="preserve"> the number of firms she will need to do it for, and the difficulties she will have in ascertaining how much any given deviation by any given firm will further the end in question</w:t>
      </w:r>
      <w:r w:rsidRPr="005E3083">
        <w:rPr>
          <w:rStyle w:val="FootnoteReference"/>
          <w:rFonts w:ascii="Times New Roman" w:hAnsi="Times New Roman" w:cs="Times New Roman"/>
          <w:sz w:val="24"/>
          <w:szCs w:val="24"/>
        </w:rPr>
        <w:footnoteReference w:id="47"/>
      </w:r>
      <w:r w:rsidRPr="005E3083">
        <w:rPr>
          <w:rFonts w:ascii="Times New Roman" w:hAnsi="Times New Roman" w:cs="Times New Roman"/>
          <w:sz w:val="24"/>
          <w:szCs w:val="24"/>
        </w:rPr>
        <w:t xml:space="preserve"> and how much each delegating equity investor is willing to sacrifice in share value for any furtherance of any particular value.</w:t>
      </w:r>
      <w:r w:rsidR="001506BE" w:rsidRPr="001506BE">
        <w:rPr>
          <w:rStyle w:val="FootnoteReference"/>
          <w:rFonts w:ascii="Times New Roman" w:hAnsi="Times New Roman" w:cs="Times New Roman"/>
          <w:sz w:val="24"/>
          <w:szCs w:val="24"/>
        </w:rPr>
        <w:t xml:space="preserve"> </w:t>
      </w:r>
      <w:r w:rsidR="001506BE" w:rsidRPr="005E3083">
        <w:rPr>
          <w:rStyle w:val="FootnoteReference"/>
          <w:rFonts w:ascii="Times New Roman" w:hAnsi="Times New Roman" w:cs="Times New Roman"/>
          <w:sz w:val="24"/>
          <w:szCs w:val="24"/>
        </w:rPr>
        <w:footnoteReference w:id="48"/>
      </w:r>
      <w:r w:rsidRPr="005E3083">
        <w:rPr>
          <w:rFonts w:ascii="Times New Roman" w:hAnsi="Times New Roman" w:cs="Times New Roman"/>
          <w:sz w:val="24"/>
          <w:szCs w:val="24"/>
        </w:rPr>
        <w:t xml:space="preserve"> </w:t>
      </w:r>
    </w:p>
    <w:p w14:paraId="39C5C271" w14:textId="45F8CBDF" w:rsidR="009F3E7E" w:rsidRPr="005E3083" w:rsidRDefault="009F3E7E" w:rsidP="00F355E2">
      <w:pPr>
        <w:spacing w:after="0" w:line="480" w:lineRule="auto"/>
        <w:jc w:val="both"/>
        <w:rPr>
          <w:rFonts w:ascii="Times New Roman" w:hAnsi="Times New Roman" w:cs="Times New Roman"/>
          <w:sz w:val="24"/>
          <w:szCs w:val="24"/>
        </w:rPr>
      </w:pPr>
      <w:r w:rsidRPr="005E3083">
        <w:rPr>
          <w:rFonts w:ascii="Times New Roman" w:hAnsi="Times New Roman" w:cs="Times New Roman"/>
          <w:sz w:val="24"/>
          <w:szCs w:val="24"/>
        </w:rPr>
        <w:tab/>
        <w:t xml:space="preserve">One might reply that this is exactly what the process of electing public officials looks like. Despite </w:t>
      </w:r>
      <w:r w:rsidR="00D65386">
        <w:rPr>
          <w:rFonts w:ascii="Times New Roman" w:hAnsi="Times New Roman" w:cs="Times New Roman"/>
          <w:sz w:val="24"/>
          <w:szCs w:val="24"/>
        </w:rPr>
        <w:t xml:space="preserve">there being </w:t>
      </w:r>
      <w:r w:rsidRPr="005E3083">
        <w:rPr>
          <w:rFonts w:ascii="Times New Roman" w:hAnsi="Times New Roman" w:cs="Times New Roman"/>
          <w:sz w:val="24"/>
          <w:szCs w:val="24"/>
        </w:rPr>
        <w:t>problems in the public sphere</w:t>
      </w:r>
      <w:r w:rsidR="00D65386">
        <w:rPr>
          <w:rFonts w:ascii="Times New Roman" w:hAnsi="Times New Roman" w:cs="Times New Roman"/>
          <w:sz w:val="24"/>
          <w:szCs w:val="24"/>
        </w:rPr>
        <w:t xml:space="preserve"> akin to the </w:t>
      </w:r>
      <w:r w:rsidR="004B7236">
        <w:rPr>
          <w:rFonts w:ascii="Times New Roman" w:hAnsi="Times New Roman" w:cs="Times New Roman"/>
          <w:sz w:val="24"/>
          <w:szCs w:val="24"/>
        </w:rPr>
        <w:t xml:space="preserve">private sector ones identified in the preceding few </w:t>
      </w:r>
      <w:r w:rsidR="00174F69">
        <w:rPr>
          <w:rFonts w:ascii="Times New Roman" w:hAnsi="Times New Roman" w:cs="Times New Roman"/>
          <w:sz w:val="24"/>
          <w:szCs w:val="24"/>
        </w:rPr>
        <w:t>paragraphs</w:t>
      </w:r>
      <w:r w:rsidRPr="005E3083">
        <w:rPr>
          <w:rFonts w:ascii="Times New Roman" w:hAnsi="Times New Roman" w:cs="Times New Roman"/>
          <w:sz w:val="24"/>
          <w:szCs w:val="24"/>
        </w:rPr>
        <w:t xml:space="preserve">, some combination of the media, political parties, advocacy groups, polls, focus groups and lobbyists assure that the preferences of citizen voters across a wide variety of issue do, to some extent, get recognized and acted upon. </w:t>
      </w:r>
      <w:r w:rsidR="007C4B25">
        <w:rPr>
          <w:rFonts w:ascii="Times New Roman" w:hAnsi="Times New Roman" w:cs="Times New Roman"/>
          <w:sz w:val="24"/>
          <w:szCs w:val="24"/>
        </w:rPr>
        <w:t>This, though, requires substantial energy on the part of many people and the expenditure of substantial resources.  W</w:t>
      </w:r>
      <w:r w:rsidRPr="005E3083">
        <w:rPr>
          <w:rFonts w:ascii="Times New Roman" w:hAnsi="Times New Roman" w:cs="Times New Roman"/>
          <w:sz w:val="24"/>
          <w:szCs w:val="24"/>
        </w:rPr>
        <w:t xml:space="preserve">e do not see the same </w:t>
      </w:r>
      <w:r w:rsidR="007C4B25">
        <w:rPr>
          <w:rFonts w:ascii="Times New Roman" w:hAnsi="Times New Roman" w:cs="Times New Roman"/>
          <w:sz w:val="24"/>
          <w:szCs w:val="24"/>
        </w:rPr>
        <w:t xml:space="preserve">kind of </w:t>
      </w:r>
      <w:r w:rsidRPr="005E3083">
        <w:rPr>
          <w:rFonts w:ascii="Times New Roman" w:hAnsi="Times New Roman" w:cs="Times New Roman"/>
          <w:sz w:val="24"/>
          <w:szCs w:val="24"/>
        </w:rPr>
        <w:t>political infrastructure replicated with each of the country’s few thousand publicl</w:t>
      </w:r>
      <w:r w:rsidR="0004212C">
        <w:rPr>
          <w:rFonts w:ascii="Times New Roman" w:hAnsi="Times New Roman" w:cs="Times New Roman"/>
          <w:sz w:val="24"/>
          <w:szCs w:val="24"/>
        </w:rPr>
        <w:t xml:space="preserve">y </w:t>
      </w:r>
      <w:r w:rsidRPr="005E3083">
        <w:rPr>
          <w:rFonts w:ascii="Times New Roman" w:hAnsi="Times New Roman" w:cs="Times New Roman"/>
          <w:sz w:val="24"/>
          <w:szCs w:val="24"/>
        </w:rPr>
        <w:t xml:space="preserve">traded dispersed ownership corporations </w:t>
      </w:r>
      <w:r w:rsidR="007C4B25">
        <w:rPr>
          <w:rFonts w:ascii="Times New Roman" w:hAnsi="Times New Roman" w:cs="Times New Roman"/>
          <w:sz w:val="24"/>
          <w:szCs w:val="24"/>
        </w:rPr>
        <w:t xml:space="preserve">because </w:t>
      </w:r>
      <w:r w:rsidRPr="005E3083">
        <w:rPr>
          <w:rFonts w:ascii="Times New Roman" w:hAnsi="Times New Roman" w:cs="Times New Roman"/>
          <w:sz w:val="24"/>
          <w:szCs w:val="24"/>
        </w:rPr>
        <w:t>investors</w:t>
      </w:r>
      <w:r w:rsidR="007C4B25">
        <w:rPr>
          <w:rFonts w:ascii="Times New Roman" w:hAnsi="Times New Roman" w:cs="Times New Roman"/>
          <w:sz w:val="24"/>
          <w:szCs w:val="24"/>
        </w:rPr>
        <w:t xml:space="preserve"> and others who might wish to mobilize them</w:t>
      </w:r>
      <w:r w:rsidRPr="005E3083">
        <w:rPr>
          <w:rFonts w:ascii="Times New Roman" w:hAnsi="Times New Roman" w:cs="Times New Roman"/>
          <w:sz w:val="24"/>
          <w:szCs w:val="24"/>
        </w:rPr>
        <w:t xml:space="preserve"> are not prepared to devote the energy and resources necessary to make that happen. </w:t>
      </w:r>
    </w:p>
    <w:p w14:paraId="72C13926" w14:textId="715339D9" w:rsidR="009F3E7E" w:rsidRPr="005E3083" w:rsidRDefault="009F3E7E" w:rsidP="00F355E2">
      <w:pPr>
        <w:spacing w:after="0" w:line="480" w:lineRule="auto"/>
        <w:jc w:val="both"/>
        <w:rPr>
          <w:rFonts w:ascii="Times New Roman" w:hAnsi="Times New Roman" w:cs="Times New Roman"/>
          <w:sz w:val="24"/>
          <w:szCs w:val="24"/>
        </w:rPr>
      </w:pPr>
      <w:r w:rsidRPr="005E3083">
        <w:rPr>
          <w:rFonts w:ascii="Times New Roman" w:hAnsi="Times New Roman" w:cs="Times New Roman"/>
          <w:sz w:val="24"/>
          <w:szCs w:val="24"/>
        </w:rPr>
        <w:tab/>
      </w:r>
      <w:r w:rsidR="007C4B25">
        <w:rPr>
          <w:rFonts w:ascii="Times New Roman" w:hAnsi="Times New Roman" w:cs="Times New Roman"/>
          <w:sz w:val="24"/>
          <w:szCs w:val="24"/>
        </w:rPr>
        <w:t xml:space="preserve">The shortfall does not stop here, however.  </w:t>
      </w:r>
      <w:r w:rsidRPr="005E3083">
        <w:rPr>
          <w:rFonts w:ascii="Times New Roman" w:hAnsi="Times New Roman" w:cs="Times New Roman"/>
          <w:sz w:val="24"/>
          <w:szCs w:val="24"/>
        </w:rPr>
        <w:t>Suppose</w:t>
      </w:r>
      <w:r w:rsidR="00734759">
        <w:rPr>
          <w:rFonts w:ascii="Times New Roman" w:hAnsi="Times New Roman" w:cs="Times New Roman"/>
          <w:sz w:val="24"/>
          <w:szCs w:val="24"/>
        </w:rPr>
        <w:t xml:space="preserve"> </w:t>
      </w:r>
      <w:r w:rsidRPr="005E3083">
        <w:rPr>
          <w:rFonts w:ascii="Times New Roman" w:hAnsi="Times New Roman" w:cs="Times New Roman"/>
          <w:sz w:val="24"/>
          <w:szCs w:val="24"/>
        </w:rPr>
        <w:t xml:space="preserve">that all these problems were overcome so that the persons who are elected a firm’s directors </w:t>
      </w:r>
      <w:r w:rsidR="0058147A">
        <w:rPr>
          <w:rFonts w:ascii="Times New Roman" w:hAnsi="Times New Roman" w:cs="Times New Roman"/>
          <w:sz w:val="24"/>
          <w:szCs w:val="24"/>
        </w:rPr>
        <w:t>somehow kn</w:t>
      </w:r>
      <w:r w:rsidR="003C6201">
        <w:rPr>
          <w:rFonts w:ascii="Times New Roman" w:hAnsi="Times New Roman" w:cs="Times New Roman"/>
          <w:sz w:val="24"/>
          <w:szCs w:val="24"/>
        </w:rPr>
        <w:t>e</w:t>
      </w:r>
      <w:r w:rsidR="0058147A">
        <w:rPr>
          <w:rFonts w:ascii="Times New Roman" w:hAnsi="Times New Roman" w:cs="Times New Roman"/>
          <w:sz w:val="24"/>
          <w:szCs w:val="24"/>
        </w:rPr>
        <w:t xml:space="preserve">w </w:t>
      </w:r>
      <w:r w:rsidR="0058147A" w:rsidRPr="005E3083">
        <w:rPr>
          <w:rFonts w:ascii="Times New Roman" w:hAnsi="Times New Roman" w:cs="Times New Roman"/>
          <w:sz w:val="24"/>
          <w:szCs w:val="24"/>
        </w:rPr>
        <w:t xml:space="preserve">every deviation from share </w:t>
      </w:r>
      <w:r w:rsidR="0058147A" w:rsidRPr="005E3083">
        <w:rPr>
          <w:rFonts w:ascii="Times New Roman" w:hAnsi="Times New Roman" w:cs="Times New Roman"/>
          <w:sz w:val="24"/>
          <w:szCs w:val="24"/>
        </w:rPr>
        <w:lastRenderedPageBreak/>
        <w:t>value maximization with regard to which</w:t>
      </w:r>
      <w:r w:rsidR="0058147A">
        <w:rPr>
          <w:rFonts w:ascii="Times New Roman" w:hAnsi="Times New Roman" w:cs="Times New Roman"/>
          <w:sz w:val="24"/>
          <w:szCs w:val="24"/>
        </w:rPr>
        <w:t xml:space="preserve"> </w:t>
      </w:r>
      <w:r w:rsidR="0058147A" w:rsidRPr="005E3083">
        <w:rPr>
          <w:rFonts w:ascii="Times New Roman" w:hAnsi="Times New Roman" w:cs="Times New Roman"/>
          <w:sz w:val="24"/>
          <w:szCs w:val="24"/>
        </w:rPr>
        <w:t>there would have been majority support from the equity investors had they been fully informed</w:t>
      </w:r>
      <w:r w:rsidR="0058147A">
        <w:rPr>
          <w:rFonts w:ascii="Times New Roman" w:hAnsi="Times New Roman" w:cs="Times New Roman"/>
          <w:sz w:val="24"/>
          <w:szCs w:val="24"/>
        </w:rPr>
        <w:t xml:space="preserve"> and promise to use their authority accordingly </w:t>
      </w:r>
      <w:r w:rsidRPr="005E3083">
        <w:rPr>
          <w:rFonts w:ascii="Times New Roman" w:hAnsi="Times New Roman" w:cs="Times New Roman"/>
          <w:sz w:val="24"/>
          <w:szCs w:val="24"/>
        </w:rPr>
        <w:t>to authorize</w:t>
      </w:r>
      <w:r w:rsidR="00796064">
        <w:rPr>
          <w:rFonts w:ascii="Times New Roman" w:hAnsi="Times New Roman" w:cs="Times New Roman"/>
          <w:sz w:val="24"/>
          <w:szCs w:val="24"/>
        </w:rPr>
        <w:t xml:space="preserve">. </w:t>
      </w:r>
      <w:r w:rsidRPr="005E3083">
        <w:rPr>
          <w:rFonts w:ascii="Times New Roman" w:hAnsi="Times New Roman" w:cs="Times New Roman"/>
          <w:sz w:val="24"/>
          <w:szCs w:val="24"/>
        </w:rPr>
        <w:t>There is still the problem of implementation</w:t>
      </w:r>
      <w:r w:rsidR="00796064">
        <w:rPr>
          <w:rFonts w:ascii="Times New Roman" w:hAnsi="Times New Roman" w:cs="Times New Roman"/>
          <w:sz w:val="24"/>
          <w:szCs w:val="24"/>
        </w:rPr>
        <w:t xml:space="preserve">. </w:t>
      </w:r>
      <w:r w:rsidR="00091AA6">
        <w:rPr>
          <w:rFonts w:ascii="Times New Roman" w:hAnsi="Times New Roman" w:cs="Times New Roman"/>
          <w:sz w:val="24"/>
          <w:szCs w:val="24"/>
        </w:rPr>
        <w:t>The principal agent problem is now more complex than if principal is simply asking for share value maximization</w:t>
      </w:r>
      <w:r w:rsidR="00796064">
        <w:rPr>
          <w:rFonts w:ascii="Times New Roman" w:hAnsi="Times New Roman" w:cs="Times New Roman"/>
          <w:sz w:val="24"/>
          <w:szCs w:val="24"/>
        </w:rPr>
        <w:t xml:space="preserve">. </w:t>
      </w:r>
      <w:r w:rsidR="00EA1EDB">
        <w:rPr>
          <w:rFonts w:ascii="Times New Roman" w:hAnsi="Times New Roman" w:cs="Times New Roman"/>
          <w:sz w:val="24"/>
          <w:szCs w:val="24"/>
        </w:rPr>
        <w:t>Given the information problems in their not having fully informed preferences in the first place, h</w:t>
      </w:r>
      <w:r w:rsidR="0058147A">
        <w:rPr>
          <w:rFonts w:ascii="Times New Roman" w:hAnsi="Times New Roman" w:cs="Times New Roman"/>
          <w:sz w:val="24"/>
          <w:szCs w:val="24"/>
        </w:rPr>
        <w:t xml:space="preserve">ow are </w:t>
      </w:r>
      <w:r w:rsidR="00EA1EDB">
        <w:rPr>
          <w:rFonts w:ascii="Times New Roman" w:hAnsi="Times New Roman" w:cs="Times New Roman"/>
          <w:sz w:val="24"/>
          <w:szCs w:val="24"/>
        </w:rPr>
        <w:t xml:space="preserve">the shareholders to know whether the directors are fulfilling their promises.  Moreover, </w:t>
      </w:r>
      <w:r w:rsidRPr="005E3083">
        <w:rPr>
          <w:rFonts w:ascii="Times New Roman" w:hAnsi="Times New Roman" w:cs="Times New Roman"/>
          <w:sz w:val="24"/>
          <w:szCs w:val="24"/>
        </w:rPr>
        <w:t>the</w:t>
      </w:r>
      <w:r w:rsidR="00091AA6">
        <w:rPr>
          <w:rFonts w:ascii="Times New Roman" w:hAnsi="Times New Roman" w:cs="Times New Roman"/>
          <w:sz w:val="24"/>
          <w:szCs w:val="24"/>
        </w:rPr>
        <w:t xml:space="preserve"> officers that </w:t>
      </w:r>
      <w:r w:rsidR="00EA1EDB">
        <w:rPr>
          <w:rFonts w:ascii="Times New Roman" w:hAnsi="Times New Roman" w:cs="Times New Roman"/>
          <w:sz w:val="24"/>
          <w:szCs w:val="24"/>
        </w:rPr>
        <w:t xml:space="preserve">the directors </w:t>
      </w:r>
      <w:r w:rsidR="00174F69">
        <w:rPr>
          <w:rFonts w:ascii="Times New Roman" w:hAnsi="Times New Roman" w:cs="Times New Roman"/>
          <w:sz w:val="24"/>
          <w:szCs w:val="24"/>
        </w:rPr>
        <w:t>appoint</w:t>
      </w:r>
      <w:r w:rsidR="00EA1EDB">
        <w:rPr>
          <w:rFonts w:ascii="Times New Roman" w:hAnsi="Times New Roman" w:cs="Times New Roman"/>
          <w:sz w:val="24"/>
          <w:szCs w:val="24"/>
        </w:rPr>
        <w:t xml:space="preserve"> and supervise</w:t>
      </w:r>
      <w:r w:rsidR="00856A34">
        <w:rPr>
          <w:rFonts w:ascii="Times New Roman" w:hAnsi="Times New Roman" w:cs="Times New Roman"/>
          <w:sz w:val="24"/>
          <w:szCs w:val="24"/>
        </w:rPr>
        <w:t xml:space="preserve"> </w:t>
      </w:r>
      <w:r w:rsidRPr="005E3083">
        <w:rPr>
          <w:rFonts w:ascii="Times New Roman" w:hAnsi="Times New Roman" w:cs="Times New Roman"/>
          <w:sz w:val="24"/>
          <w:szCs w:val="24"/>
        </w:rPr>
        <w:t>will need discretion in carrying out this multiple task mandate</w:t>
      </w:r>
      <w:r w:rsidR="00091AA6">
        <w:rPr>
          <w:rFonts w:ascii="Times New Roman" w:hAnsi="Times New Roman" w:cs="Times New Roman"/>
          <w:sz w:val="24"/>
          <w:szCs w:val="24"/>
        </w:rPr>
        <w:t xml:space="preserve"> involving multiple ends </w:t>
      </w:r>
      <w:r w:rsidR="00EA1EDB">
        <w:rPr>
          <w:rFonts w:ascii="Times New Roman" w:hAnsi="Times New Roman" w:cs="Times New Roman"/>
          <w:sz w:val="24"/>
          <w:szCs w:val="24"/>
        </w:rPr>
        <w:t xml:space="preserve">with their own </w:t>
      </w:r>
      <w:r w:rsidR="00091AA6">
        <w:rPr>
          <w:rFonts w:ascii="Times New Roman" w:hAnsi="Times New Roman" w:cs="Times New Roman"/>
          <w:sz w:val="24"/>
          <w:szCs w:val="24"/>
        </w:rPr>
        <w:t>tradeoffs</w:t>
      </w:r>
      <w:r w:rsidR="00B04AC9">
        <w:rPr>
          <w:rFonts w:ascii="Times New Roman" w:hAnsi="Times New Roman" w:cs="Times New Roman"/>
          <w:sz w:val="24"/>
          <w:szCs w:val="24"/>
        </w:rPr>
        <w:t xml:space="preserve"> </w:t>
      </w:r>
      <w:r w:rsidR="00091AA6">
        <w:rPr>
          <w:rFonts w:ascii="Times New Roman" w:hAnsi="Times New Roman" w:cs="Times New Roman"/>
          <w:sz w:val="24"/>
          <w:szCs w:val="24"/>
        </w:rPr>
        <w:t>among themselves</w:t>
      </w:r>
      <w:r w:rsidR="00EA1EDB">
        <w:rPr>
          <w:rFonts w:ascii="Times New Roman" w:hAnsi="Times New Roman" w:cs="Times New Roman"/>
          <w:sz w:val="24"/>
          <w:szCs w:val="24"/>
        </w:rPr>
        <w:t>, but these officials have their own personal interests</w:t>
      </w:r>
      <w:r w:rsidR="00091AA6">
        <w:rPr>
          <w:rFonts w:ascii="Times New Roman" w:hAnsi="Times New Roman" w:cs="Times New Roman"/>
          <w:sz w:val="24"/>
          <w:szCs w:val="24"/>
        </w:rPr>
        <w:t xml:space="preserve">. </w:t>
      </w:r>
      <w:r w:rsidR="00B04AC9">
        <w:rPr>
          <w:rFonts w:ascii="Times New Roman" w:hAnsi="Times New Roman" w:cs="Times New Roman"/>
          <w:sz w:val="24"/>
          <w:szCs w:val="24"/>
        </w:rPr>
        <w:t xml:space="preserve"> </w:t>
      </w:r>
      <w:r w:rsidRPr="005E3083">
        <w:rPr>
          <w:rFonts w:ascii="Times New Roman" w:hAnsi="Times New Roman" w:cs="Times New Roman"/>
          <w:sz w:val="24"/>
          <w:szCs w:val="24"/>
        </w:rPr>
        <w:t>Multiple task principal-agent arrangements are inherently complicated</w:t>
      </w:r>
      <w:r w:rsidR="00EA1EDB">
        <w:rPr>
          <w:rFonts w:ascii="Times New Roman" w:hAnsi="Times New Roman" w:cs="Times New Roman"/>
          <w:sz w:val="24"/>
          <w:szCs w:val="24"/>
        </w:rPr>
        <w:t>.</w:t>
      </w:r>
      <w:r w:rsidR="004C675C">
        <w:rPr>
          <w:rStyle w:val="FootnoteReference"/>
          <w:rFonts w:ascii="Times New Roman" w:hAnsi="Times New Roman" w:cs="Times New Roman"/>
          <w:sz w:val="24"/>
          <w:szCs w:val="24"/>
        </w:rPr>
        <w:footnoteReference w:id="49"/>
      </w:r>
      <w:r w:rsidR="00EA1EDB">
        <w:rPr>
          <w:rFonts w:ascii="Times New Roman" w:hAnsi="Times New Roman" w:cs="Times New Roman"/>
          <w:sz w:val="24"/>
          <w:szCs w:val="24"/>
        </w:rPr>
        <w:t xml:space="preserve">  T</w:t>
      </w:r>
      <w:r w:rsidRPr="005E3083">
        <w:rPr>
          <w:rFonts w:ascii="Times New Roman" w:hAnsi="Times New Roman" w:cs="Times New Roman"/>
          <w:sz w:val="24"/>
          <w:szCs w:val="24"/>
        </w:rPr>
        <w:t xml:space="preserve">he use of </w:t>
      </w:r>
      <w:r w:rsidR="004B1868" w:rsidRPr="005E3083">
        <w:rPr>
          <w:rFonts w:ascii="Times New Roman" w:hAnsi="Times New Roman" w:cs="Times New Roman"/>
          <w:sz w:val="24"/>
          <w:szCs w:val="24"/>
        </w:rPr>
        <w:t>high-powered</w:t>
      </w:r>
      <w:r w:rsidRPr="005E3083">
        <w:rPr>
          <w:rFonts w:ascii="Times New Roman" w:hAnsi="Times New Roman" w:cs="Times New Roman"/>
          <w:sz w:val="24"/>
          <w:szCs w:val="24"/>
        </w:rPr>
        <w:t xml:space="preserve"> incentives</w:t>
      </w:r>
      <w:r w:rsidR="00923684">
        <w:rPr>
          <w:rFonts w:ascii="Times New Roman" w:hAnsi="Times New Roman" w:cs="Times New Roman"/>
          <w:sz w:val="24"/>
          <w:szCs w:val="24"/>
        </w:rPr>
        <w:t xml:space="preserve">, such as a compensation scheme tied to indices purporting to measure progress in achieving certain social ends, cannot be more effective than the accuracy of the indices.  Perhaps more serious, </w:t>
      </w:r>
      <w:r w:rsidR="004B1868">
        <w:rPr>
          <w:rFonts w:ascii="Times New Roman" w:hAnsi="Times New Roman" w:cs="Times New Roman"/>
          <w:sz w:val="24"/>
          <w:szCs w:val="24"/>
        </w:rPr>
        <w:t>high-powered</w:t>
      </w:r>
      <w:r w:rsidR="00EE6D38">
        <w:rPr>
          <w:rFonts w:ascii="Times New Roman" w:hAnsi="Times New Roman" w:cs="Times New Roman"/>
          <w:sz w:val="24"/>
          <w:szCs w:val="24"/>
        </w:rPr>
        <w:t xml:space="preserve"> incentives </w:t>
      </w:r>
      <w:r w:rsidR="00923684">
        <w:rPr>
          <w:rFonts w:ascii="Times New Roman" w:hAnsi="Times New Roman" w:cs="Times New Roman"/>
          <w:sz w:val="24"/>
          <w:szCs w:val="24"/>
        </w:rPr>
        <w:t xml:space="preserve">will </w:t>
      </w:r>
      <w:r w:rsidRPr="005E3083">
        <w:rPr>
          <w:rFonts w:ascii="Times New Roman" w:hAnsi="Times New Roman" w:cs="Times New Roman"/>
          <w:sz w:val="24"/>
          <w:szCs w:val="24"/>
        </w:rPr>
        <w:t>likely distort</w:t>
      </w:r>
      <w:r w:rsidR="004B1868">
        <w:rPr>
          <w:rFonts w:ascii="Times New Roman" w:hAnsi="Times New Roman" w:cs="Times New Roman"/>
          <w:sz w:val="24"/>
          <w:szCs w:val="24"/>
        </w:rPr>
        <w:t xml:space="preserve"> </w:t>
      </w:r>
      <w:r w:rsidRPr="005E3083">
        <w:rPr>
          <w:rFonts w:ascii="Times New Roman" w:hAnsi="Times New Roman" w:cs="Times New Roman"/>
          <w:sz w:val="24"/>
          <w:szCs w:val="24"/>
        </w:rPr>
        <w:t xml:space="preserve">the results </w:t>
      </w:r>
      <w:r w:rsidR="00091AA6">
        <w:rPr>
          <w:rFonts w:ascii="Times New Roman" w:hAnsi="Times New Roman" w:cs="Times New Roman"/>
          <w:sz w:val="24"/>
          <w:szCs w:val="24"/>
        </w:rPr>
        <w:t>by giving prominence to the end most easily measurable</w:t>
      </w:r>
      <w:r w:rsidR="00EA1EDB">
        <w:rPr>
          <w:rFonts w:ascii="Times New Roman" w:hAnsi="Times New Roman" w:cs="Times New Roman"/>
          <w:sz w:val="24"/>
          <w:szCs w:val="24"/>
        </w:rPr>
        <w:t>.</w:t>
      </w:r>
      <w:r w:rsidR="00091AA6">
        <w:rPr>
          <w:rFonts w:ascii="Times New Roman" w:hAnsi="Times New Roman" w:cs="Times New Roman"/>
          <w:sz w:val="24"/>
          <w:szCs w:val="24"/>
        </w:rPr>
        <w:t xml:space="preserve"> </w:t>
      </w:r>
      <w:r w:rsidR="00EA1EDB">
        <w:rPr>
          <w:rFonts w:ascii="Times New Roman" w:hAnsi="Times New Roman" w:cs="Times New Roman"/>
          <w:sz w:val="24"/>
          <w:szCs w:val="24"/>
        </w:rPr>
        <w:t>T</w:t>
      </w:r>
      <w:r w:rsidRPr="005E3083">
        <w:rPr>
          <w:rFonts w:ascii="Times New Roman" w:hAnsi="Times New Roman" w:cs="Times New Roman"/>
          <w:sz w:val="24"/>
          <w:szCs w:val="24"/>
        </w:rPr>
        <w:t>he use of low powered incentives</w:t>
      </w:r>
      <w:r w:rsidR="00EE6D38">
        <w:rPr>
          <w:rFonts w:ascii="Times New Roman" w:hAnsi="Times New Roman" w:cs="Times New Roman"/>
          <w:sz w:val="24"/>
          <w:szCs w:val="24"/>
        </w:rPr>
        <w:t>, such as appeals to the consciences of managers,</w:t>
      </w:r>
      <w:r w:rsidRPr="005E3083">
        <w:rPr>
          <w:rFonts w:ascii="Times New Roman" w:hAnsi="Times New Roman" w:cs="Times New Roman"/>
          <w:sz w:val="24"/>
          <w:szCs w:val="24"/>
        </w:rPr>
        <w:t xml:space="preserve"> </w:t>
      </w:r>
      <w:r w:rsidR="00EA1EDB">
        <w:rPr>
          <w:rFonts w:ascii="Times New Roman" w:hAnsi="Times New Roman" w:cs="Times New Roman"/>
          <w:sz w:val="24"/>
          <w:szCs w:val="24"/>
        </w:rPr>
        <w:t>avoids this problem but</w:t>
      </w:r>
      <w:r w:rsidR="00EE6D38">
        <w:rPr>
          <w:rFonts w:ascii="Times New Roman" w:hAnsi="Times New Roman" w:cs="Times New Roman"/>
          <w:sz w:val="24"/>
          <w:szCs w:val="24"/>
        </w:rPr>
        <w:t>, to give them scope to work,</w:t>
      </w:r>
      <w:r w:rsidR="00EA1EDB">
        <w:rPr>
          <w:rFonts w:ascii="Times New Roman" w:hAnsi="Times New Roman" w:cs="Times New Roman"/>
          <w:sz w:val="24"/>
          <w:szCs w:val="24"/>
        </w:rPr>
        <w:t xml:space="preserve"> </w:t>
      </w:r>
      <w:r w:rsidR="00EE6D38">
        <w:rPr>
          <w:rFonts w:ascii="Times New Roman" w:hAnsi="Times New Roman" w:cs="Times New Roman"/>
          <w:sz w:val="24"/>
          <w:szCs w:val="24"/>
        </w:rPr>
        <w:t xml:space="preserve">requires an incentive structure that </w:t>
      </w:r>
      <w:r w:rsidR="0069675A">
        <w:rPr>
          <w:rFonts w:ascii="Times New Roman" w:hAnsi="Times New Roman" w:cs="Times New Roman"/>
          <w:sz w:val="24"/>
          <w:szCs w:val="24"/>
        </w:rPr>
        <w:t>permit</w:t>
      </w:r>
      <w:r w:rsidR="00EA1EDB">
        <w:rPr>
          <w:rFonts w:ascii="Times New Roman" w:hAnsi="Times New Roman" w:cs="Times New Roman"/>
          <w:sz w:val="24"/>
          <w:szCs w:val="24"/>
        </w:rPr>
        <w:t xml:space="preserve">s </w:t>
      </w:r>
      <w:r w:rsidRPr="005E3083">
        <w:rPr>
          <w:rFonts w:ascii="Times New Roman" w:hAnsi="Times New Roman" w:cs="Times New Roman"/>
          <w:sz w:val="24"/>
          <w:szCs w:val="24"/>
        </w:rPr>
        <w:t xml:space="preserve">considerable self-interested behavior on the part of the </w:t>
      </w:r>
      <w:r w:rsidR="00EE6D38">
        <w:rPr>
          <w:rFonts w:ascii="Times New Roman" w:hAnsi="Times New Roman" w:cs="Times New Roman"/>
          <w:sz w:val="24"/>
          <w:szCs w:val="24"/>
        </w:rPr>
        <w:t>managers as well.</w:t>
      </w:r>
      <w:r w:rsidR="00796064">
        <w:rPr>
          <w:rFonts w:ascii="Times New Roman" w:hAnsi="Times New Roman" w:cs="Times New Roman"/>
          <w:sz w:val="24"/>
          <w:szCs w:val="24"/>
        </w:rPr>
        <w:t xml:space="preserve"> </w:t>
      </w:r>
      <w:r w:rsidRPr="005E3083">
        <w:rPr>
          <w:rFonts w:ascii="Times New Roman" w:hAnsi="Times New Roman" w:cs="Times New Roman"/>
          <w:sz w:val="24"/>
          <w:szCs w:val="24"/>
        </w:rPr>
        <w:t>The existence of this conundrum is another reason why use of the franchise has not resulted in anything more than</w:t>
      </w:r>
      <w:r w:rsidR="0069675A">
        <w:rPr>
          <w:rFonts w:ascii="Times New Roman" w:hAnsi="Times New Roman" w:cs="Times New Roman"/>
          <w:sz w:val="24"/>
          <w:szCs w:val="24"/>
        </w:rPr>
        <w:t>,</w:t>
      </w:r>
      <w:r w:rsidRPr="005E3083">
        <w:rPr>
          <w:rFonts w:ascii="Times New Roman" w:hAnsi="Times New Roman" w:cs="Times New Roman"/>
          <w:sz w:val="24"/>
          <w:szCs w:val="24"/>
        </w:rPr>
        <w:t xml:space="preserve"> at most</w:t>
      </w:r>
      <w:r w:rsidR="0069675A">
        <w:rPr>
          <w:rFonts w:ascii="Times New Roman" w:hAnsi="Times New Roman" w:cs="Times New Roman"/>
          <w:sz w:val="24"/>
          <w:szCs w:val="24"/>
        </w:rPr>
        <w:t>,</w:t>
      </w:r>
      <w:r w:rsidRPr="005E3083">
        <w:rPr>
          <w:rFonts w:ascii="Times New Roman" w:hAnsi="Times New Roman" w:cs="Times New Roman"/>
          <w:sz w:val="24"/>
          <w:szCs w:val="24"/>
        </w:rPr>
        <w:t xml:space="preserve"> quite modest socially-oriented deviations from share value maximization</w:t>
      </w:r>
      <w:r w:rsidR="00796064">
        <w:rPr>
          <w:rFonts w:ascii="Times New Roman" w:hAnsi="Times New Roman" w:cs="Times New Roman"/>
          <w:sz w:val="24"/>
          <w:szCs w:val="24"/>
        </w:rPr>
        <w:t xml:space="preserve">.  </w:t>
      </w:r>
    </w:p>
    <w:p w14:paraId="79BA5E50" w14:textId="5602E00F" w:rsidR="009F3E7E" w:rsidRPr="005E3083" w:rsidRDefault="009F3E7E" w:rsidP="00F355E2">
      <w:pPr>
        <w:spacing w:after="0" w:line="480" w:lineRule="auto"/>
        <w:jc w:val="both"/>
        <w:rPr>
          <w:rFonts w:ascii="Times New Roman" w:hAnsi="Times New Roman" w:cs="Times New Roman"/>
          <w:sz w:val="24"/>
          <w:szCs w:val="24"/>
        </w:rPr>
      </w:pPr>
      <w:r w:rsidRPr="005E3083">
        <w:rPr>
          <w:rFonts w:ascii="Times New Roman" w:hAnsi="Times New Roman" w:cs="Times New Roman"/>
          <w:sz w:val="24"/>
          <w:szCs w:val="24"/>
        </w:rPr>
        <w:tab/>
        <w:t>For all these reasons, with only the rarest exceptions, the only fights that we see over who should be a director are sparked by activist hedge funds and are based on purely economic concerns</w:t>
      </w:r>
      <w:r w:rsidR="00EA1EDB">
        <w:rPr>
          <w:rFonts w:ascii="Times New Roman" w:hAnsi="Times New Roman" w:cs="Times New Roman"/>
          <w:sz w:val="24"/>
          <w:szCs w:val="24"/>
        </w:rPr>
        <w:t>.</w:t>
      </w:r>
      <w:r w:rsidR="003C6201" w:rsidRPr="005E3083">
        <w:rPr>
          <w:rStyle w:val="FootnoteReference"/>
          <w:rFonts w:ascii="Times New Roman" w:hAnsi="Times New Roman" w:cs="Times New Roman"/>
          <w:sz w:val="24"/>
          <w:szCs w:val="24"/>
        </w:rPr>
        <w:footnoteReference w:id="50"/>
      </w:r>
      <w:r w:rsidRPr="005E3083">
        <w:rPr>
          <w:rFonts w:ascii="Times New Roman" w:hAnsi="Times New Roman" w:cs="Times New Roman"/>
          <w:sz w:val="24"/>
          <w:szCs w:val="24"/>
        </w:rPr>
        <w:t xml:space="preserve"> </w:t>
      </w:r>
      <w:r w:rsidR="00EA1EDB">
        <w:rPr>
          <w:rFonts w:ascii="Times New Roman" w:hAnsi="Times New Roman" w:cs="Times New Roman"/>
          <w:sz w:val="24"/>
          <w:szCs w:val="24"/>
        </w:rPr>
        <w:t xml:space="preserve">The activist </w:t>
      </w:r>
      <w:r w:rsidRPr="005E3083">
        <w:rPr>
          <w:rFonts w:ascii="Times New Roman" w:hAnsi="Times New Roman" w:cs="Times New Roman"/>
          <w:sz w:val="24"/>
          <w:szCs w:val="24"/>
        </w:rPr>
        <w:t xml:space="preserve">claims that a change in behavior is needed to increase share value or to </w:t>
      </w:r>
      <w:r w:rsidRPr="005E3083">
        <w:rPr>
          <w:rFonts w:ascii="Times New Roman" w:hAnsi="Times New Roman" w:cs="Times New Roman"/>
          <w:sz w:val="24"/>
          <w:szCs w:val="24"/>
        </w:rPr>
        <w:lastRenderedPageBreak/>
        <w:t>prevent managers from obtaining non-arms-length benefits from the corporation</w:t>
      </w:r>
      <w:r w:rsidR="00FF24D0">
        <w:rPr>
          <w:rFonts w:ascii="Times New Roman" w:hAnsi="Times New Roman" w:cs="Times New Roman"/>
          <w:sz w:val="24"/>
          <w:szCs w:val="24"/>
        </w:rPr>
        <w:t xml:space="preserve">.  </w:t>
      </w:r>
      <w:r w:rsidR="00D545FF">
        <w:rPr>
          <w:rFonts w:ascii="Times New Roman" w:hAnsi="Times New Roman" w:cs="Times New Roman"/>
          <w:sz w:val="24"/>
          <w:szCs w:val="24"/>
        </w:rPr>
        <w:t xml:space="preserve">We do not find activists </w:t>
      </w:r>
      <w:r w:rsidR="00FF24D0">
        <w:rPr>
          <w:rFonts w:ascii="Times New Roman" w:hAnsi="Times New Roman" w:cs="Times New Roman"/>
          <w:sz w:val="24"/>
          <w:szCs w:val="24"/>
        </w:rPr>
        <w:t>advocat</w:t>
      </w:r>
      <w:r w:rsidR="00D545FF">
        <w:rPr>
          <w:rFonts w:ascii="Times New Roman" w:hAnsi="Times New Roman" w:cs="Times New Roman"/>
          <w:sz w:val="24"/>
          <w:szCs w:val="24"/>
        </w:rPr>
        <w:t>ing</w:t>
      </w:r>
      <w:r w:rsidR="00FF24D0">
        <w:rPr>
          <w:rFonts w:ascii="Times New Roman" w:hAnsi="Times New Roman" w:cs="Times New Roman"/>
          <w:sz w:val="24"/>
          <w:szCs w:val="24"/>
        </w:rPr>
        <w:t xml:space="preserve"> </w:t>
      </w:r>
      <w:r w:rsidRPr="005E3083">
        <w:rPr>
          <w:rFonts w:ascii="Times New Roman" w:hAnsi="Times New Roman" w:cs="Times New Roman"/>
          <w:sz w:val="24"/>
          <w:szCs w:val="24"/>
        </w:rPr>
        <w:t xml:space="preserve">for deviations from share value maximization in order to correct market imperfections or distributional concerns.    </w:t>
      </w:r>
    </w:p>
    <w:p w14:paraId="7DC11879" w14:textId="14C1FEAA" w:rsidR="009F3E7E" w:rsidRPr="005E3083" w:rsidRDefault="009F3E7E" w:rsidP="00F355E2">
      <w:pPr>
        <w:spacing w:after="0" w:line="480" w:lineRule="auto"/>
        <w:jc w:val="both"/>
        <w:rPr>
          <w:rFonts w:ascii="Times New Roman" w:hAnsi="Times New Roman" w:cs="Times New Roman"/>
          <w:sz w:val="24"/>
          <w:szCs w:val="24"/>
        </w:rPr>
      </w:pPr>
      <w:r w:rsidRPr="005E3083">
        <w:rPr>
          <w:rFonts w:ascii="Times New Roman" w:hAnsi="Times New Roman" w:cs="Times New Roman"/>
          <w:sz w:val="24"/>
          <w:szCs w:val="24"/>
        </w:rPr>
        <w:tab/>
      </w:r>
      <w:r w:rsidRPr="005E3083">
        <w:rPr>
          <w:rFonts w:ascii="Times New Roman" w:hAnsi="Times New Roman" w:cs="Times New Roman"/>
          <w:i/>
          <w:sz w:val="24"/>
          <w:szCs w:val="24"/>
        </w:rPr>
        <w:t xml:space="preserve">3. Should the franchise be reformed to allow shareholder votes on specific business decisions? </w:t>
      </w:r>
      <w:r w:rsidRPr="005E3083">
        <w:rPr>
          <w:rFonts w:ascii="Times New Roman" w:hAnsi="Times New Roman" w:cs="Times New Roman"/>
          <w:sz w:val="24"/>
          <w:szCs w:val="24"/>
        </w:rPr>
        <w:t>A possible reform would be to expand the subject matter reach of the corporate franchise to allow shareholders to determine directly a corporation’s business decisions where they impact on some kind of social concern.</w:t>
      </w:r>
      <w:r w:rsidRPr="005E3083">
        <w:rPr>
          <w:rStyle w:val="FootnoteReference"/>
          <w:rFonts w:ascii="Times New Roman" w:hAnsi="Times New Roman" w:cs="Times New Roman"/>
          <w:sz w:val="24"/>
          <w:szCs w:val="24"/>
        </w:rPr>
        <w:footnoteReference w:id="51"/>
      </w:r>
      <w:r w:rsidRPr="005E3083">
        <w:rPr>
          <w:rFonts w:ascii="Times New Roman" w:hAnsi="Times New Roman" w:cs="Times New Roman"/>
          <w:sz w:val="24"/>
          <w:szCs w:val="24"/>
        </w:rPr>
        <w:t xml:space="preserve">  The argument in favor of this reform might allow potential majorities to emerge and work their will with regard to </w:t>
      </w:r>
      <w:r w:rsidR="00413B8A">
        <w:rPr>
          <w:rFonts w:ascii="Times New Roman" w:hAnsi="Times New Roman" w:cs="Times New Roman"/>
          <w:sz w:val="24"/>
          <w:szCs w:val="24"/>
        </w:rPr>
        <w:t>a specified share value diminishing change in behavior in furtherance of some particular social end.</w:t>
      </w:r>
      <w:r w:rsidRPr="005E3083">
        <w:rPr>
          <w:rFonts w:ascii="Times New Roman" w:hAnsi="Times New Roman" w:cs="Times New Roman"/>
          <w:sz w:val="24"/>
          <w:szCs w:val="24"/>
        </w:rPr>
        <w:t xml:space="preserve"> These are the majorities that get drowned out by noise with the shareholder franchise limited to the general election for directors. </w:t>
      </w:r>
      <w:r w:rsidR="00D8397F">
        <w:rPr>
          <w:rFonts w:ascii="Times New Roman" w:hAnsi="Times New Roman" w:cs="Times New Roman"/>
          <w:sz w:val="24"/>
          <w:szCs w:val="24"/>
        </w:rPr>
        <w:t xml:space="preserve">The analogy in the governmental sphere would be the referendum device in states such as California that gives voters the opportunity to </w:t>
      </w:r>
      <w:r w:rsidR="00734759">
        <w:rPr>
          <w:rFonts w:ascii="Times New Roman" w:hAnsi="Times New Roman" w:cs="Times New Roman"/>
          <w:sz w:val="24"/>
          <w:szCs w:val="24"/>
        </w:rPr>
        <w:t>bypass</w:t>
      </w:r>
      <w:r w:rsidR="00D8397F">
        <w:rPr>
          <w:rFonts w:ascii="Times New Roman" w:hAnsi="Times New Roman" w:cs="Times New Roman"/>
          <w:sz w:val="24"/>
          <w:szCs w:val="24"/>
        </w:rPr>
        <w:t xml:space="preserve"> the usual legislative process.</w:t>
      </w:r>
    </w:p>
    <w:p w14:paraId="73D4CC12" w14:textId="562C7410" w:rsidR="009F3E7E" w:rsidRPr="005E3083" w:rsidRDefault="009F3E7E" w:rsidP="00F355E2">
      <w:pPr>
        <w:spacing w:after="0" w:line="480" w:lineRule="auto"/>
        <w:jc w:val="both"/>
        <w:rPr>
          <w:rFonts w:ascii="Times New Roman" w:hAnsi="Times New Roman" w:cs="Times New Roman"/>
          <w:sz w:val="24"/>
          <w:szCs w:val="24"/>
        </w:rPr>
      </w:pPr>
      <w:r w:rsidRPr="005E3083">
        <w:rPr>
          <w:rFonts w:ascii="Times New Roman" w:hAnsi="Times New Roman" w:cs="Times New Roman"/>
          <w:sz w:val="24"/>
          <w:szCs w:val="24"/>
        </w:rPr>
        <w:tab/>
        <w:t xml:space="preserve">Two important </w:t>
      </w:r>
      <w:r w:rsidR="00D2644F">
        <w:rPr>
          <w:rFonts w:ascii="Times New Roman" w:hAnsi="Times New Roman" w:cs="Times New Roman"/>
          <w:sz w:val="24"/>
          <w:szCs w:val="24"/>
        </w:rPr>
        <w:t>article</w:t>
      </w:r>
      <w:r w:rsidRPr="005E3083">
        <w:rPr>
          <w:rFonts w:ascii="Times New Roman" w:hAnsi="Times New Roman" w:cs="Times New Roman"/>
          <w:sz w:val="24"/>
          <w:szCs w:val="24"/>
        </w:rPr>
        <w:t>s by Oliver Hart and Luigi Zingales (“H&amp;Z”) argue in favor of such a reform.</w:t>
      </w:r>
      <w:bookmarkStart w:id="15" w:name="_Ref180487977"/>
      <w:r w:rsidRPr="005E3083">
        <w:rPr>
          <w:rStyle w:val="FootnoteReference"/>
          <w:rFonts w:ascii="Times New Roman" w:hAnsi="Times New Roman" w:cs="Times New Roman"/>
          <w:sz w:val="24"/>
          <w:szCs w:val="24"/>
        </w:rPr>
        <w:footnoteReference w:id="52"/>
      </w:r>
      <w:bookmarkEnd w:id="15"/>
      <w:r w:rsidRPr="005E3083">
        <w:rPr>
          <w:rFonts w:ascii="Times New Roman" w:hAnsi="Times New Roman" w:cs="Times New Roman"/>
          <w:sz w:val="24"/>
          <w:szCs w:val="24"/>
        </w:rPr>
        <w:t xml:space="preserve"> Using a simple, elegant model, they argue that there are likely many corporations which engage in one or more behaviors where a majority of its shareholders would prefer that the corporation stop even though the shareholders would lose their pro-rata share of gain that the </w:t>
      </w:r>
      <w:r w:rsidRPr="005E3083">
        <w:rPr>
          <w:rFonts w:ascii="Times New Roman" w:hAnsi="Times New Roman" w:cs="Times New Roman"/>
          <w:sz w:val="24"/>
          <w:szCs w:val="24"/>
        </w:rPr>
        <w:lastRenderedPageBreak/>
        <w:t>behavior generates. H&amp;Z suggest that with this reform in place, there would be ways for equity holders in a firm who have a particular social concern to assure that their holdings be voted in an informed way to reflect this concern</w:t>
      </w:r>
      <w:r w:rsidR="00796064">
        <w:rPr>
          <w:rFonts w:ascii="Times New Roman" w:hAnsi="Times New Roman" w:cs="Times New Roman"/>
          <w:sz w:val="24"/>
          <w:szCs w:val="24"/>
        </w:rPr>
        <w:t xml:space="preserve">. </w:t>
      </w:r>
      <w:r w:rsidRPr="005E3083">
        <w:rPr>
          <w:rFonts w:ascii="Times New Roman" w:hAnsi="Times New Roman" w:cs="Times New Roman"/>
          <w:sz w:val="24"/>
          <w:szCs w:val="24"/>
        </w:rPr>
        <w:t xml:space="preserve">To get around the </w:t>
      </w:r>
      <w:r w:rsidR="004934B5">
        <w:rPr>
          <w:rFonts w:ascii="Times New Roman" w:hAnsi="Times New Roman" w:cs="Times New Roman"/>
          <w:sz w:val="24"/>
          <w:szCs w:val="24"/>
        </w:rPr>
        <w:t xml:space="preserve">rational apathy problems associated with becoming informed and voting, </w:t>
      </w:r>
      <w:r w:rsidRPr="005E3083">
        <w:rPr>
          <w:rFonts w:ascii="Times New Roman" w:hAnsi="Times New Roman" w:cs="Times New Roman"/>
          <w:sz w:val="24"/>
          <w:szCs w:val="24"/>
        </w:rPr>
        <w:t>they suggest solutions involving delegation along the lines of what was discussed above: equity investors can join with other like-valued other investors by investing in a fund whose managers promise to vote in accordance with the group’s values. Alternatively, if the investors hold the shares in the firm directly themselves, they give their proxy to an expert voting service dedicated to the concern</w:t>
      </w:r>
      <w:r w:rsidR="00796064">
        <w:rPr>
          <w:rFonts w:ascii="Times New Roman" w:hAnsi="Times New Roman" w:cs="Times New Roman"/>
          <w:sz w:val="24"/>
          <w:szCs w:val="24"/>
        </w:rPr>
        <w:t xml:space="preserve">. </w:t>
      </w:r>
      <w:r w:rsidRPr="005E3083">
        <w:rPr>
          <w:rFonts w:ascii="Times New Roman" w:hAnsi="Times New Roman" w:cs="Times New Roman"/>
          <w:sz w:val="24"/>
          <w:szCs w:val="24"/>
        </w:rPr>
        <w:t xml:space="preserve">The </w:t>
      </w:r>
      <w:r w:rsidR="004934B5">
        <w:rPr>
          <w:rFonts w:ascii="Times New Roman" w:hAnsi="Times New Roman" w:cs="Times New Roman"/>
          <w:sz w:val="24"/>
          <w:szCs w:val="24"/>
        </w:rPr>
        <w:t xml:space="preserve">reform would allow the fund manager or </w:t>
      </w:r>
      <w:r w:rsidRPr="005E3083">
        <w:rPr>
          <w:rFonts w:ascii="Times New Roman" w:hAnsi="Times New Roman" w:cs="Times New Roman"/>
          <w:sz w:val="24"/>
          <w:szCs w:val="24"/>
        </w:rPr>
        <w:t>proxy hold</w:t>
      </w:r>
      <w:r w:rsidR="004934B5">
        <w:rPr>
          <w:rFonts w:ascii="Times New Roman" w:hAnsi="Times New Roman" w:cs="Times New Roman"/>
          <w:sz w:val="24"/>
          <w:szCs w:val="24"/>
        </w:rPr>
        <w:t>ing</w:t>
      </w:r>
      <w:r w:rsidRPr="005E3083">
        <w:rPr>
          <w:rFonts w:ascii="Times New Roman" w:hAnsi="Times New Roman" w:cs="Times New Roman"/>
          <w:sz w:val="24"/>
          <w:szCs w:val="24"/>
        </w:rPr>
        <w:t xml:space="preserve"> expert to vote for a specific corporate action rather than just for directors. </w:t>
      </w:r>
    </w:p>
    <w:p w14:paraId="45A5C0F4" w14:textId="3C4E0F4F" w:rsidR="009F3E7E" w:rsidRPr="005E3083" w:rsidRDefault="009F3E7E" w:rsidP="00F355E2">
      <w:pPr>
        <w:spacing w:after="0" w:line="480" w:lineRule="auto"/>
        <w:jc w:val="both"/>
        <w:rPr>
          <w:rFonts w:ascii="Times New Roman" w:hAnsi="Times New Roman" w:cs="Times New Roman"/>
          <w:sz w:val="24"/>
          <w:szCs w:val="24"/>
        </w:rPr>
      </w:pPr>
      <w:r w:rsidRPr="005E3083">
        <w:rPr>
          <w:rFonts w:ascii="Times New Roman" w:hAnsi="Times New Roman" w:cs="Times New Roman"/>
          <w:sz w:val="24"/>
          <w:szCs w:val="24"/>
        </w:rPr>
        <w:tab/>
        <w:t>The model that H&amp;Z employ to advocate for broadening the subject matter of the franchise in essence views investors as potential Kaldor-Hicks efficiency police</w:t>
      </w:r>
      <w:r w:rsidR="009C29E5">
        <w:rPr>
          <w:rFonts w:ascii="Times New Roman" w:hAnsi="Times New Roman" w:cs="Times New Roman"/>
          <w:sz w:val="24"/>
          <w:szCs w:val="24"/>
        </w:rPr>
        <w:t xml:space="preserve">, who </w:t>
      </w:r>
      <w:r w:rsidR="000838CB">
        <w:rPr>
          <w:rFonts w:ascii="Times New Roman" w:hAnsi="Times New Roman" w:cs="Times New Roman"/>
          <w:sz w:val="24"/>
          <w:szCs w:val="24"/>
        </w:rPr>
        <w:t>aid</w:t>
      </w:r>
      <w:r w:rsidR="009C29E5">
        <w:rPr>
          <w:rFonts w:ascii="Times New Roman" w:hAnsi="Times New Roman" w:cs="Times New Roman"/>
          <w:sz w:val="24"/>
          <w:szCs w:val="24"/>
        </w:rPr>
        <w:t xml:space="preserve"> society in </w:t>
      </w:r>
      <w:r w:rsidR="000838CB">
        <w:rPr>
          <w:rFonts w:ascii="Times New Roman" w:hAnsi="Times New Roman" w:cs="Times New Roman"/>
          <w:sz w:val="24"/>
          <w:szCs w:val="24"/>
        </w:rPr>
        <w:t>advancing social welfare</w:t>
      </w:r>
      <w:r w:rsidRPr="005E3083">
        <w:rPr>
          <w:rFonts w:ascii="Times New Roman" w:hAnsi="Times New Roman" w:cs="Times New Roman"/>
          <w:sz w:val="24"/>
          <w:szCs w:val="24"/>
        </w:rPr>
        <w:t>. These shareholders identify situations where a corporation’s share value maximizing behavior is associated with some market imperfection.</w:t>
      </w:r>
      <w:bookmarkStart w:id="16" w:name="_Ref180496963"/>
      <w:r w:rsidRPr="005E3083">
        <w:rPr>
          <w:rStyle w:val="FootnoteReference"/>
          <w:rFonts w:ascii="Times New Roman" w:hAnsi="Times New Roman" w:cs="Times New Roman"/>
          <w:sz w:val="24"/>
          <w:szCs w:val="24"/>
        </w:rPr>
        <w:footnoteReference w:id="53"/>
      </w:r>
      <w:bookmarkEnd w:id="16"/>
      <w:r w:rsidRPr="005E3083">
        <w:rPr>
          <w:rFonts w:ascii="Times New Roman" w:hAnsi="Times New Roman" w:cs="Times New Roman"/>
          <w:sz w:val="24"/>
          <w:szCs w:val="24"/>
        </w:rPr>
        <w:t xml:space="preserve">  In such a situation, a change in corporate behavior, though diminishing share value</w:t>
      </w:r>
      <w:r w:rsidR="00BD1D27">
        <w:rPr>
          <w:rFonts w:ascii="Times New Roman" w:hAnsi="Times New Roman" w:cs="Times New Roman"/>
          <w:sz w:val="24"/>
          <w:szCs w:val="24"/>
        </w:rPr>
        <w:t xml:space="preserve"> and thus diminishing each shareholder’s wealth</w:t>
      </w:r>
      <w:r w:rsidRPr="005E3083">
        <w:rPr>
          <w:rFonts w:ascii="Times New Roman" w:hAnsi="Times New Roman" w:cs="Times New Roman"/>
          <w:sz w:val="24"/>
          <w:szCs w:val="24"/>
        </w:rPr>
        <w:t>, would leave</w:t>
      </w:r>
      <w:r w:rsidR="004934B5">
        <w:rPr>
          <w:rFonts w:ascii="Times New Roman" w:hAnsi="Times New Roman" w:cs="Times New Roman"/>
          <w:sz w:val="24"/>
          <w:szCs w:val="24"/>
        </w:rPr>
        <w:t xml:space="preserve"> society’s </w:t>
      </w:r>
      <w:r w:rsidRPr="005E3083">
        <w:rPr>
          <w:rFonts w:ascii="Times New Roman" w:hAnsi="Times New Roman" w:cs="Times New Roman"/>
          <w:sz w:val="24"/>
          <w:szCs w:val="24"/>
        </w:rPr>
        <w:t xml:space="preserve">gainers ahead by more than it would leave </w:t>
      </w:r>
      <w:r w:rsidR="004934B5">
        <w:rPr>
          <w:rFonts w:ascii="Times New Roman" w:hAnsi="Times New Roman" w:cs="Times New Roman"/>
          <w:sz w:val="24"/>
          <w:szCs w:val="24"/>
        </w:rPr>
        <w:t>its</w:t>
      </w:r>
      <w:r w:rsidRPr="005E3083">
        <w:rPr>
          <w:rFonts w:ascii="Times New Roman" w:hAnsi="Times New Roman" w:cs="Times New Roman"/>
          <w:sz w:val="24"/>
          <w:szCs w:val="24"/>
        </w:rPr>
        <w:t xml:space="preserve"> losers behind</w:t>
      </w:r>
      <w:r w:rsidR="00796064">
        <w:rPr>
          <w:rFonts w:ascii="Times New Roman" w:hAnsi="Times New Roman" w:cs="Times New Roman"/>
          <w:sz w:val="24"/>
          <w:szCs w:val="24"/>
        </w:rPr>
        <w:t xml:space="preserve">. </w:t>
      </w:r>
      <w:r w:rsidR="004934B5">
        <w:rPr>
          <w:rFonts w:ascii="Times New Roman" w:hAnsi="Times New Roman" w:cs="Times New Roman"/>
          <w:sz w:val="24"/>
          <w:szCs w:val="24"/>
        </w:rPr>
        <w:t xml:space="preserve">H&amp;Z </w:t>
      </w:r>
      <w:r w:rsidRPr="005E3083">
        <w:rPr>
          <w:rFonts w:ascii="Times New Roman" w:hAnsi="Times New Roman" w:cs="Times New Roman"/>
          <w:sz w:val="24"/>
          <w:szCs w:val="24"/>
        </w:rPr>
        <w:t xml:space="preserve">imagine that any given shareholder, X, would vote for the firm to undertake the deviation from share value maximization where the </w:t>
      </w:r>
      <w:r w:rsidR="004934B5">
        <w:rPr>
          <w:rFonts w:ascii="Times New Roman" w:hAnsi="Times New Roman" w:cs="Times New Roman"/>
          <w:sz w:val="24"/>
          <w:szCs w:val="24"/>
        </w:rPr>
        <w:t xml:space="preserve">deviation’s </w:t>
      </w:r>
      <w:r w:rsidRPr="005E3083">
        <w:rPr>
          <w:rFonts w:ascii="Times New Roman" w:hAnsi="Times New Roman" w:cs="Times New Roman"/>
          <w:sz w:val="24"/>
          <w:szCs w:val="24"/>
        </w:rPr>
        <w:t xml:space="preserve">cost to her </w:t>
      </w:r>
      <w:r w:rsidR="00BD1D27">
        <w:rPr>
          <w:rFonts w:ascii="Times New Roman" w:hAnsi="Times New Roman" w:cs="Times New Roman"/>
          <w:sz w:val="24"/>
          <w:szCs w:val="24"/>
        </w:rPr>
        <w:t xml:space="preserve">individually </w:t>
      </w:r>
      <w:r w:rsidRPr="005E3083">
        <w:rPr>
          <w:rFonts w:ascii="Times New Roman" w:hAnsi="Times New Roman" w:cs="Times New Roman"/>
          <w:sz w:val="24"/>
          <w:szCs w:val="24"/>
        </w:rPr>
        <w:t xml:space="preserve">is less than the empathetic pleasure that X receives as a result of the </w:t>
      </w:r>
      <w:r w:rsidRPr="006A40F1">
        <w:rPr>
          <w:rFonts w:ascii="Times New Roman" w:hAnsi="Times New Roman" w:cs="Times New Roman"/>
          <w:i/>
          <w:sz w:val="24"/>
          <w:szCs w:val="24"/>
        </w:rPr>
        <w:t xml:space="preserve">net </w:t>
      </w:r>
      <w:r w:rsidRPr="005E3083">
        <w:rPr>
          <w:rFonts w:ascii="Times New Roman" w:hAnsi="Times New Roman" w:cs="Times New Roman"/>
          <w:sz w:val="24"/>
          <w:szCs w:val="24"/>
        </w:rPr>
        <w:t>gain to rest of the world</w:t>
      </w:r>
      <w:r w:rsidR="00796064">
        <w:rPr>
          <w:rFonts w:ascii="Times New Roman" w:hAnsi="Times New Roman" w:cs="Times New Roman"/>
          <w:sz w:val="24"/>
          <w:szCs w:val="24"/>
        </w:rPr>
        <w:t xml:space="preserve">. </w:t>
      </w:r>
    </w:p>
    <w:p w14:paraId="02E83892" w14:textId="6E16C8B6" w:rsidR="009F3E7E" w:rsidRDefault="009F3E7E" w:rsidP="00F355E2">
      <w:pPr>
        <w:spacing w:after="0" w:line="480" w:lineRule="auto"/>
        <w:jc w:val="both"/>
        <w:rPr>
          <w:rFonts w:ascii="Times New Roman" w:hAnsi="Times New Roman" w:cs="Times New Roman"/>
          <w:sz w:val="24"/>
          <w:szCs w:val="24"/>
        </w:rPr>
      </w:pPr>
      <w:r w:rsidRPr="005E3083">
        <w:rPr>
          <w:rFonts w:ascii="Times New Roman" w:hAnsi="Times New Roman" w:cs="Times New Roman"/>
          <w:sz w:val="24"/>
          <w:szCs w:val="24"/>
        </w:rPr>
        <w:tab/>
        <w:t xml:space="preserve">As established more rigorously in </w:t>
      </w:r>
      <w:r w:rsidR="005E3083">
        <w:rPr>
          <w:rFonts w:ascii="Times New Roman" w:hAnsi="Times New Roman" w:cs="Times New Roman"/>
          <w:sz w:val="24"/>
          <w:szCs w:val="24"/>
        </w:rPr>
        <w:t xml:space="preserve">the </w:t>
      </w:r>
      <w:r w:rsidRPr="005E3083">
        <w:rPr>
          <w:rFonts w:ascii="Times New Roman" w:hAnsi="Times New Roman" w:cs="Times New Roman"/>
          <w:sz w:val="24"/>
          <w:szCs w:val="24"/>
        </w:rPr>
        <w:t xml:space="preserve">Appendix to this </w:t>
      </w:r>
      <w:r w:rsidR="00D2644F">
        <w:rPr>
          <w:rFonts w:ascii="Times New Roman" w:hAnsi="Times New Roman" w:cs="Times New Roman"/>
          <w:sz w:val="24"/>
          <w:szCs w:val="24"/>
        </w:rPr>
        <w:t>article</w:t>
      </w:r>
      <w:r w:rsidRPr="005E3083">
        <w:rPr>
          <w:rFonts w:ascii="Times New Roman" w:hAnsi="Times New Roman" w:cs="Times New Roman"/>
          <w:sz w:val="24"/>
          <w:szCs w:val="24"/>
        </w:rPr>
        <w:t xml:space="preserve">, we </w:t>
      </w:r>
      <w:r w:rsidR="005E3083">
        <w:rPr>
          <w:rFonts w:ascii="Times New Roman" w:hAnsi="Times New Roman" w:cs="Times New Roman"/>
          <w:sz w:val="24"/>
          <w:szCs w:val="24"/>
        </w:rPr>
        <w:t>extend the H&amp;Z model</w:t>
      </w:r>
      <w:r w:rsidRPr="005E3083">
        <w:rPr>
          <w:rFonts w:ascii="Times New Roman" w:hAnsi="Times New Roman" w:cs="Times New Roman"/>
          <w:sz w:val="24"/>
          <w:szCs w:val="24"/>
        </w:rPr>
        <w:t xml:space="preserve"> to suggest three propositions of interest to our inquiry here:</w:t>
      </w:r>
    </w:p>
    <w:p w14:paraId="21CEEA0B" w14:textId="4C1B15C5" w:rsidR="009F3E7E" w:rsidRPr="005E3083" w:rsidRDefault="009F3E7E" w:rsidP="00F355E2">
      <w:pPr>
        <w:pStyle w:val="ListParagraph"/>
        <w:numPr>
          <w:ilvl w:val="0"/>
          <w:numId w:val="6"/>
        </w:numPr>
        <w:spacing w:after="0" w:line="480" w:lineRule="auto"/>
        <w:jc w:val="both"/>
        <w:rPr>
          <w:rFonts w:cs="Times New Roman"/>
          <w:sz w:val="24"/>
          <w:szCs w:val="24"/>
        </w:rPr>
      </w:pPr>
      <w:r w:rsidRPr="005E3083">
        <w:rPr>
          <w:rFonts w:cs="Times New Roman"/>
          <w:sz w:val="24"/>
          <w:szCs w:val="24"/>
        </w:rPr>
        <w:lastRenderedPageBreak/>
        <w:t>A necessary but not sufficient condition for X to vote in favor is that the deviation would be social welfare improving.</w:t>
      </w:r>
    </w:p>
    <w:p w14:paraId="19F579E6" w14:textId="294AF820" w:rsidR="009F3E7E" w:rsidRPr="005E3083" w:rsidRDefault="009F3E7E" w:rsidP="00F355E2">
      <w:pPr>
        <w:pStyle w:val="ListParagraph"/>
        <w:numPr>
          <w:ilvl w:val="0"/>
          <w:numId w:val="6"/>
        </w:numPr>
        <w:spacing w:after="0" w:line="480" w:lineRule="auto"/>
        <w:jc w:val="both"/>
        <w:rPr>
          <w:rFonts w:cs="Times New Roman"/>
          <w:sz w:val="24"/>
          <w:szCs w:val="24"/>
        </w:rPr>
      </w:pPr>
      <w:r w:rsidRPr="005E3083">
        <w:rPr>
          <w:rFonts w:cs="Times New Roman"/>
          <w:sz w:val="24"/>
          <w:szCs w:val="24"/>
        </w:rPr>
        <w:t>All else equal, the smaller X’s equity interest as a proportion of the total value of the company’s equity, the more likely that X will vote in favor of a social welfare improving deviation.</w:t>
      </w:r>
    </w:p>
    <w:p w14:paraId="7952251F" w14:textId="26512084" w:rsidR="009F3E7E" w:rsidRPr="005E3083" w:rsidRDefault="009F3E7E" w:rsidP="000F51F5">
      <w:pPr>
        <w:spacing w:after="0" w:line="480" w:lineRule="auto"/>
        <w:ind w:left="1440" w:hanging="720"/>
        <w:jc w:val="both"/>
        <w:rPr>
          <w:rFonts w:ascii="Times New Roman" w:hAnsi="Times New Roman" w:cs="Times New Roman"/>
          <w:sz w:val="24"/>
          <w:szCs w:val="24"/>
        </w:rPr>
      </w:pPr>
      <w:r w:rsidRPr="005E3083">
        <w:rPr>
          <w:rFonts w:ascii="Times New Roman" w:hAnsi="Times New Roman" w:cs="Times New Roman"/>
          <w:sz w:val="24"/>
          <w:szCs w:val="24"/>
        </w:rPr>
        <w:t>(II</w:t>
      </w:r>
      <w:r w:rsidR="00F355E2">
        <w:rPr>
          <w:rFonts w:ascii="Times New Roman" w:hAnsi="Times New Roman" w:cs="Times New Roman"/>
          <w:sz w:val="24"/>
          <w:szCs w:val="24"/>
        </w:rPr>
        <w:t>I</w:t>
      </w:r>
      <w:r w:rsidR="000569A4">
        <w:rPr>
          <w:rFonts w:ascii="Times New Roman" w:hAnsi="Times New Roman" w:cs="Times New Roman"/>
          <w:sz w:val="24"/>
          <w:szCs w:val="24"/>
        </w:rPr>
        <w:t>)</w:t>
      </w:r>
      <w:r w:rsidRPr="005E3083">
        <w:rPr>
          <w:rFonts w:ascii="Times New Roman" w:hAnsi="Times New Roman" w:cs="Times New Roman"/>
          <w:sz w:val="24"/>
          <w:szCs w:val="24"/>
        </w:rPr>
        <w:t xml:space="preserve">  </w:t>
      </w:r>
      <w:r w:rsidR="000F51F5">
        <w:rPr>
          <w:rFonts w:ascii="Times New Roman" w:hAnsi="Times New Roman" w:cs="Times New Roman"/>
          <w:sz w:val="24"/>
          <w:szCs w:val="24"/>
        </w:rPr>
        <w:tab/>
      </w:r>
      <w:r w:rsidRPr="005E3083">
        <w:rPr>
          <w:rFonts w:ascii="Times New Roman" w:hAnsi="Times New Roman" w:cs="Times New Roman"/>
          <w:sz w:val="24"/>
          <w:szCs w:val="24"/>
        </w:rPr>
        <w:t>All else equal, the greater the deviation’s social welfare improvement relative to its</w:t>
      </w:r>
      <w:r w:rsidR="000569A4">
        <w:rPr>
          <w:rFonts w:ascii="Times New Roman" w:hAnsi="Times New Roman" w:cs="Times New Roman"/>
          <w:sz w:val="24"/>
          <w:szCs w:val="24"/>
        </w:rPr>
        <w:t xml:space="preserve">                                                                                                                                     </w:t>
      </w:r>
      <w:r w:rsidRPr="005E3083">
        <w:rPr>
          <w:rFonts w:ascii="Times New Roman" w:hAnsi="Times New Roman" w:cs="Times New Roman"/>
          <w:sz w:val="24"/>
          <w:szCs w:val="24"/>
        </w:rPr>
        <w:t xml:space="preserve"> </w:t>
      </w:r>
      <w:r w:rsidR="000569A4">
        <w:rPr>
          <w:rFonts w:ascii="Times New Roman" w:hAnsi="Times New Roman" w:cs="Times New Roman"/>
          <w:sz w:val="24"/>
          <w:szCs w:val="24"/>
        </w:rPr>
        <w:t xml:space="preserve">        </w:t>
      </w:r>
      <w:r w:rsidRPr="005E3083">
        <w:rPr>
          <w:rFonts w:ascii="Times New Roman" w:hAnsi="Times New Roman" w:cs="Times New Roman"/>
          <w:sz w:val="24"/>
          <w:szCs w:val="24"/>
        </w:rPr>
        <w:t>cost, the more likely that X will vote in favor of a social welfare improving deviation.</w:t>
      </w:r>
    </w:p>
    <w:p w14:paraId="21968A5A" w14:textId="64E1C880" w:rsidR="00D97F74" w:rsidRPr="005E3083" w:rsidRDefault="009F3E7E" w:rsidP="00D97F74">
      <w:pPr>
        <w:spacing w:after="0" w:line="480" w:lineRule="auto"/>
        <w:jc w:val="both"/>
        <w:rPr>
          <w:rFonts w:ascii="Times New Roman" w:hAnsi="Times New Roman" w:cs="Times New Roman"/>
          <w:sz w:val="24"/>
          <w:szCs w:val="24"/>
        </w:rPr>
      </w:pPr>
      <w:r w:rsidRPr="005E3083">
        <w:rPr>
          <w:rFonts w:ascii="Times New Roman" w:hAnsi="Times New Roman" w:cs="Times New Roman"/>
          <w:sz w:val="24"/>
          <w:szCs w:val="24"/>
        </w:rPr>
        <w:t>In the Appendix, we also provide a stylized example in which we imagine that shareholder X has an equity interest in a public company representing 1/100</w:t>
      </w:r>
      <w:r w:rsidR="00D14446">
        <w:rPr>
          <w:rFonts w:ascii="Times New Roman" w:hAnsi="Times New Roman" w:cs="Times New Roman"/>
          <w:sz w:val="24"/>
          <w:szCs w:val="24"/>
        </w:rPr>
        <w:t>,</w:t>
      </w:r>
      <w:r w:rsidRPr="005E3083">
        <w:rPr>
          <w:rFonts w:ascii="Times New Roman" w:hAnsi="Times New Roman" w:cs="Times New Roman"/>
          <w:sz w:val="24"/>
          <w:szCs w:val="24"/>
        </w:rPr>
        <w:t>00</w:t>
      </w:r>
      <w:r w:rsidR="00D14446">
        <w:rPr>
          <w:rFonts w:ascii="Times New Roman" w:hAnsi="Times New Roman" w:cs="Times New Roman"/>
          <w:sz w:val="24"/>
          <w:szCs w:val="24"/>
        </w:rPr>
        <w:t>0</w:t>
      </w:r>
      <w:r w:rsidRPr="005E3083">
        <w:rPr>
          <w:rFonts w:ascii="Times New Roman" w:hAnsi="Times New Roman" w:cs="Times New Roman"/>
          <w:sz w:val="24"/>
          <w:szCs w:val="24"/>
        </w:rPr>
        <w:t xml:space="preserve"> of its total outstanding stock and that the net social benefit from the elimination of the externality generating behavior that that the deviation from share value maximization would bring is 1.2 times the cost to the company and hence </w:t>
      </w:r>
      <w:r w:rsidR="007C683C">
        <w:rPr>
          <w:rFonts w:ascii="Times New Roman" w:hAnsi="Times New Roman" w:cs="Times New Roman"/>
          <w:sz w:val="24"/>
          <w:szCs w:val="24"/>
        </w:rPr>
        <w:t xml:space="preserve">to </w:t>
      </w:r>
      <w:r w:rsidRPr="005E3083">
        <w:rPr>
          <w:rFonts w:ascii="Times New Roman" w:hAnsi="Times New Roman" w:cs="Times New Roman"/>
          <w:sz w:val="24"/>
          <w:szCs w:val="24"/>
        </w:rPr>
        <w:t>its shareholders.</w:t>
      </w:r>
      <w:r w:rsidRPr="005E3083">
        <w:rPr>
          <w:rStyle w:val="FootnoteReference"/>
          <w:rFonts w:ascii="Times New Roman" w:hAnsi="Times New Roman" w:cs="Times New Roman"/>
          <w:sz w:val="24"/>
          <w:szCs w:val="24"/>
        </w:rPr>
        <w:footnoteReference w:id="54"/>
      </w:r>
      <w:r w:rsidRPr="005E3083">
        <w:rPr>
          <w:rFonts w:ascii="Times New Roman" w:hAnsi="Times New Roman" w:cs="Times New Roman"/>
          <w:sz w:val="24"/>
          <w:szCs w:val="24"/>
        </w:rPr>
        <w:t xml:space="preserve">  In that case, despite the cost to her, X would favor the deviation if she the empathetic pleasure she would obtain was anything more than about 1/2</w:t>
      </w:r>
      <w:r w:rsidR="00194F11">
        <w:rPr>
          <w:rFonts w:ascii="Times New Roman" w:hAnsi="Times New Roman" w:cs="Times New Roman"/>
          <w:sz w:val="24"/>
          <w:szCs w:val="24"/>
        </w:rPr>
        <w:t>0,</w:t>
      </w:r>
      <w:r w:rsidRPr="005E3083">
        <w:rPr>
          <w:rFonts w:ascii="Times New Roman" w:hAnsi="Times New Roman" w:cs="Times New Roman"/>
          <w:sz w:val="24"/>
          <w:szCs w:val="24"/>
        </w:rPr>
        <w:t>000</w:t>
      </w:r>
      <w:r w:rsidRPr="005E3083">
        <w:rPr>
          <w:rFonts w:ascii="Times New Roman" w:hAnsi="Times New Roman" w:cs="Times New Roman"/>
          <w:sz w:val="24"/>
          <w:szCs w:val="24"/>
          <w:vertAlign w:val="superscript"/>
        </w:rPr>
        <w:t>th</w:t>
      </w:r>
      <w:r w:rsidRPr="005E3083">
        <w:rPr>
          <w:rFonts w:ascii="Times New Roman" w:hAnsi="Times New Roman" w:cs="Times New Roman"/>
          <w:sz w:val="24"/>
          <w:szCs w:val="24"/>
        </w:rPr>
        <w:t xml:space="preserve"> the rest of society’s net benefit (the net gain from eliminating the externality minus the cost to all the company’s other shareholders)</w:t>
      </w:r>
      <w:r w:rsidR="00796064">
        <w:rPr>
          <w:rFonts w:ascii="Times New Roman" w:hAnsi="Times New Roman" w:cs="Times New Roman"/>
          <w:sz w:val="24"/>
          <w:szCs w:val="24"/>
        </w:rPr>
        <w:t xml:space="preserve">. </w:t>
      </w:r>
      <w:r w:rsidR="00194F11">
        <w:rPr>
          <w:rFonts w:ascii="Times New Roman" w:hAnsi="Times New Roman" w:cs="Times New Roman"/>
          <w:sz w:val="24"/>
          <w:szCs w:val="24"/>
        </w:rPr>
        <w:t>In other words</w:t>
      </w:r>
      <w:r w:rsidR="00734759">
        <w:rPr>
          <w:rFonts w:ascii="Times New Roman" w:hAnsi="Times New Roman" w:cs="Times New Roman"/>
          <w:sz w:val="24"/>
          <w:szCs w:val="24"/>
        </w:rPr>
        <w:t>,</w:t>
      </w:r>
      <w:r w:rsidR="00194F11">
        <w:rPr>
          <w:rFonts w:ascii="Times New Roman" w:hAnsi="Times New Roman" w:cs="Times New Roman"/>
          <w:sz w:val="24"/>
          <w:szCs w:val="24"/>
        </w:rPr>
        <w:t xml:space="preserve"> if the corporation’s total market capitalization was $1 billion (so that X’s equity interest would be worth $10,000) and society’s net benefit from the deviation is $20 million,</w:t>
      </w:r>
      <w:r w:rsidR="00E006EA">
        <w:rPr>
          <w:rFonts w:ascii="Times New Roman" w:hAnsi="Times New Roman" w:cs="Times New Roman"/>
          <w:sz w:val="24"/>
          <w:szCs w:val="24"/>
        </w:rPr>
        <w:t xml:space="preserve"> she would vote to approve it if the pleasure she received from the rest of society enjoying this net benefit exceeded the pleasure she would enjoy from receiving $1,000.</w:t>
      </w:r>
      <w:r w:rsidR="00D97F74">
        <w:rPr>
          <w:rStyle w:val="FootnoteReference"/>
          <w:rFonts w:ascii="Times New Roman" w:hAnsi="Times New Roman" w:cs="Times New Roman"/>
          <w:sz w:val="24"/>
          <w:szCs w:val="24"/>
        </w:rPr>
        <w:footnoteReference w:id="55"/>
      </w:r>
      <w:r w:rsidR="00D97F74">
        <w:rPr>
          <w:rFonts w:ascii="Times New Roman" w:hAnsi="Times New Roman" w:cs="Times New Roman"/>
          <w:sz w:val="24"/>
          <w:szCs w:val="24"/>
        </w:rPr>
        <w:t xml:space="preserve"> </w:t>
      </w:r>
    </w:p>
    <w:p w14:paraId="11A1BBE0" w14:textId="54519F70" w:rsidR="009F3E7E" w:rsidRPr="005E3083" w:rsidRDefault="00194F11" w:rsidP="00F355E2">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F3E7E" w:rsidRPr="005E3083">
        <w:rPr>
          <w:rFonts w:ascii="Times New Roman" w:hAnsi="Times New Roman" w:cs="Times New Roman"/>
          <w:sz w:val="24"/>
          <w:szCs w:val="24"/>
        </w:rPr>
        <w:tab/>
        <w:t>From a Kaldor-Hicks efficiency perspective, one of the key functions of government is to correct market imperfections through regulation: prohibiting, taxing, or subjecting to liability negative externalities, outlawing anti-competitive practices or requiring marginal cost pricing, and requiring disclosures</w:t>
      </w:r>
      <w:r w:rsidR="00E006EA">
        <w:rPr>
          <w:rFonts w:ascii="Times New Roman" w:hAnsi="Times New Roman" w:cs="Times New Roman"/>
          <w:sz w:val="24"/>
          <w:szCs w:val="24"/>
        </w:rPr>
        <w:t xml:space="preserve"> or imposing quality standards on goods and services</w:t>
      </w:r>
      <w:r w:rsidR="009F3E7E" w:rsidRPr="005E3083">
        <w:rPr>
          <w:rFonts w:ascii="Times New Roman" w:hAnsi="Times New Roman" w:cs="Times New Roman"/>
          <w:sz w:val="24"/>
          <w:szCs w:val="24"/>
        </w:rPr>
        <w:t xml:space="preserve">. </w:t>
      </w:r>
      <w:r w:rsidR="00D65AB1">
        <w:rPr>
          <w:rFonts w:ascii="Times New Roman" w:hAnsi="Times New Roman" w:cs="Times New Roman"/>
          <w:sz w:val="24"/>
          <w:szCs w:val="24"/>
        </w:rPr>
        <w:t>A</w:t>
      </w:r>
      <w:r w:rsidR="009F3E7E" w:rsidRPr="005E3083">
        <w:rPr>
          <w:rFonts w:ascii="Times New Roman" w:hAnsi="Times New Roman" w:cs="Times New Roman"/>
          <w:sz w:val="24"/>
          <w:szCs w:val="24"/>
        </w:rPr>
        <w:t xml:space="preserve">ny imperfection that continues to exist represents a </w:t>
      </w:r>
      <w:r w:rsidR="007C683C">
        <w:rPr>
          <w:rFonts w:ascii="Times New Roman" w:hAnsi="Times New Roman" w:cs="Times New Roman"/>
          <w:sz w:val="24"/>
          <w:szCs w:val="24"/>
        </w:rPr>
        <w:t xml:space="preserve">regulatory failure on the part of </w:t>
      </w:r>
      <w:r w:rsidR="009F3E7E" w:rsidRPr="005E3083">
        <w:rPr>
          <w:rFonts w:ascii="Times New Roman" w:hAnsi="Times New Roman" w:cs="Times New Roman"/>
          <w:sz w:val="24"/>
          <w:szCs w:val="24"/>
        </w:rPr>
        <w:t>government</w:t>
      </w:r>
      <w:r w:rsidR="007C683C">
        <w:rPr>
          <w:rFonts w:ascii="Times New Roman" w:hAnsi="Times New Roman" w:cs="Times New Roman"/>
          <w:sz w:val="24"/>
          <w:szCs w:val="24"/>
        </w:rPr>
        <w:t>.</w:t>
      </w:r>
      <w:r w:rsidR="009F3E7E" w:rsidRPr="005E3083">
        <w:rPr>
          <w:rFonts w:ascii="Times New Roman" w:hAnsi="Times New Roman" w:cs="Times New Roman"/>
          <w:sz w:val="24"/>
          <w:szCs w:val="24"/>
        </w:rPr>
        <w:t xml:space="preserve"> H&amp;Z’s proposed subject-broadening reform to the shareholder franchise would arguably help alleviate this failure by allowing private shareholders to step into the breach.</w:t>
      </w:r>
      <w:r w:rsidR="00DA4567">
        <w:rPr>
          <w:rStyle w:val="FootnoteReference"/>
          <w:rFonts w:ascii="Times New Roman" w:hAnsi="Times New Roman" w:cs="Times New Roman"/>
          <w:sz w:val="24"/>
          <w:szCs w:val="24"/>
        </w:rPr>
        <w:footnoteReference w:id="56"/>
      </w:r>
      <w:r w:rsidR="009F3E7E" w:rsidRPr="005E3083">
        <w:rPr>
          <w:rFonts w:ascii="Times New Roman" w:hAnsi="Times New Roman" w:cs="Times New Roman"/>
          <w:sz w:val="24"/>
          <w:szCs w:val="24"/>
        </w:rPr>
        <w:t xml:space="preserve"> </w:t>
      </w:r>
    </w:p>
    <w:p w14:paraId="04B1294A" w14:textId="3CB7BB4A" w:rsidR="009F3E7E" w:rsidRPr="005E3083" w:rsidRDefault="009F3E7E" w:rsidP="00F355E2">
      <w:pPr>
        <w:spacing w:after="0" w:line="480" w:lineRule="auto"/>
        <w:jc w:val="both"/>
        <w:rPr>
          <w:rFonts w:ascii="Times New Roman" w:hAnsi="Times New Roman" w:cs="Times New Roman"/>
          <w:sz w:val="24"/>
          <w:szCs w:val="24"/>
        </w:rPr>
      </w:pPr>
      <w:r w:rsidRPr="005E3083">
        <w:rPr>
          <w:rFonts w:ascii="Times New Roman" w:hAnsi="Times New Roman" w:cs="Times New Roman"/>
          <w:sz w:val="24"/>
          <w:szCs w:val="24"/>
        </w:rPr>
        <w:tab/>
        <w:t xml:space="preserve">The key point, as illustrated by the stylized example described above and worked out in </w:t>
      </w:r>
      <w:r w:rsidR="00360709">
        <w:rPr>
          <w:rFonts w:ascii="Times New Roman" w:hAnsi="Times New Roman" w:cs="Times New Roman"/>
          <w:sz w:val="24"/>
          <w:szCs w:val="24"/>
        </w:rPr>
        <w:t xml:space="preserve">the </w:t>
      </w:r>
      <w:r w:rsidRPr="005E3083">
        <w:rPr>
          <w:rFonts w:ascii="Times New Roman" w:hAnsi="Times New Roman" w:cs="Times New Roman"/>
          <w:sz w:val="24"/>
          <w:szCs w:val="24"/>
        </w:rPr>
        <w:t>Appendix, is that if she only has a small portion of the corporation’s shares, she is empathetically weighing the total society-wide excess of gains and losses if the corporation deviates, against her own small fraction of the total losses. So</w:t>
      </w:r>
      <w:r w:rsidR="00003F1C">
        <w:rPr>
          <w:rFonts w:ascii="Times New Roman" w:hAnsi="Times New Roman" w:cs="Times New Roman"/>
          <w:sz w:val="24"/>
          <w:szCs w:val="24"/>
        </w:rPr>
        <w:t>, even if she is only a little bit empathic,</w:t>
      </w:r>
      <w:r w:rsidRPr="005E3083">
        <w:rPr>
          <w:rFonts w:ascii="Times New Roman" w:hAnsi="Times New Roman" w:cs="Times New Roman"/>
          <w:sz w:val="24"/>
          <w:szCs w:val="24"/>
        </w:rPr>
        <w:t xml:space="preserve"> she will often want to vote yes. </w:t>
      </w:r>
    </w:p>
    <w:p w14:paraId="730F74E6" w14:textId="28684017" w:rsidR="00004D2D" w:rsidRDefault="009F3E7E" w:rsidP="00F355E2">
      <w:pPr>
        <w:spacing w:after="0" w:line="480" w:lineRule="auto"/>
        <w:jc w:val="both"/>
        <w:rPr>
          <w:rFonts w:ascii="Times New Roman" w:hAnsi="Times New Roman" w:cs="Times New Roman"/>
          <w:sz w:val="24"/>
          <w:szCs w:val="24"/>
        </w:rPr>
      </w:pPr>
      <w:r w:rsidRPr="005E3083">
        <w:rPr>
          <w:rFonts w:ascii="Times New Roman" w:hAnsi="Times New Roman" w:cs="Times New Roman"/>
          <w:sz w:val="24"/>
          <w:szCs w:val="24"/>
        </w:rPr>
        <w:lastRenderedPageBreak/>
        <w:tab/>
        <w:t xml:space="preserve">H&amp;Z are in essence proposing to establish a corporation-by-corporation set of mini-political systems to </w:t>
      </w:r>
      <w:r w:rsidR="003B52FB">
        <w:rPr>
          <w:rFonts w:ascii="Times New Roman" w:hAnsi="Times New Roman" w:cs="Times New Roman"/>
          <w:sz w:val="24"/>
          <w:szCs w:val="24"/>
        </w:rPr>
        <w:t xml:space="preserve">fill in </w:t>
      </w:r>
      <w:r w:rsidRPr="005E3083">
        <w:rPr>
          <w:rFonts w:ascii="Times New Roman" w:hAnsi="Times New Roman" w:cs="Times New Roman"/>
          <w:sz w:val="24"/>
          <w:szCs w:val="24"/>
        </w:rPr>
        <w:t xml:space="preserve">for the government’s </w:t>
      </w:r>
      <w:r w:rsidR="003B52FB">
        <w:rPr>
          <w:rFonts w:ascii="Times New Roman" w:hAnsi="Times New Roman" w:cs="Times New Roman"/>
          <w:sz w:val="24"/>
          <w:szCs w:val="24"/>
        </w:rPr>
        <w:t xml:space="preserve">shortfalls </w:t>
      </w:r>
      <w:r w:rsidRPr="005E3083">
        <w:rPr>
          <w:rFonts w:ascii="Times New Roman" w:hAnsi="Times New Roman" w:cs="Times New Roman"/>
          <w:sz w:val="24"/>
          <w:szCs w:val="24"/>
        </w:rPr>
        <w:t>in regulating market imperfections.</w:t>
      </w:r>
      <w:r w:rsidRPr="005E3083">
        <w:rPr>
          <w:rStyle w:val="FootnoteReference"/>
          <w:rFonts w:ascii="Times New Roman" w:hAnsi="Times New Roman" w:cs="Times New Roman"/>
          <w:sz w:val="24"/>
          <w:szCs w:val="24"/>
        </w:rPr>
        <w:footnoteReference w:id="57"/>
      </w:r>
      <w:r w:rsidRPr="005E3083">
        <w:rPr>
          <w:rFonts w:ascii="Times New Roman" w:hAnsi="Times New Roman" w:cs="Times New Roman"/>
          <w:sz w:val="24"/>
          <w:szCs w:val="24"/>
        </w:rPr>
        <w:t xml:space="preserve"> At an abstract level, this seems like a reform that would move the world in a desirable direction, at least to anyone who values Kaldor-Hicks efficiency. Unlike </w:t>
      </w:r>
      <w:r w:rsidR="00D21A56">
        <w:rPr>
          <w:rFonts w:ascii="Times New Roman" w:hAnsi="Times New Roman" w:cs="Times New Roman"/>
          <w:sz w:val="24"/>
          <w:szCs w:val="24"/>
        </w:rPr>
        <w:t xml:space="preserve">in </w:t>
      </w:r>
      <w:r w:rsidRPr="005E3083">
        <w:rPr>
          <w:rFonts w:ascii="Times New Roman" w:hAnsi="Times New Roman" w:cs="Times New Roman"/>
          <w:sz w:val="24"/>
          <w:szCs w:val="24"/>
        </w:rPr>
        <w:t>the H&amp;Z model, however, the typical shareholder</w:t>
      </w:r>
      <w:r w:rsidR="00E006EA">
        <w:rPr>
          <w:rFonts w:ascii="Times New Roman" w:hAnsi="Times New Roman" w:cs="Times New Roman"/>
          <w:sz w:val="24"/>
          <w:szCs w:val="24"/>
        </w:rPr>
        <w:t>, as we have already discussed,</w:t>
      </w:r>
      <w:r w:rsidRPr="005E3083">
        <w:rPr>
          <w:rFonts w:ascii="Times New Roman" w:hAnsi="Times New Roman" w:cs="Times New Roman"/>
          <w:sz w:val="24"/>
          <w:szCs w:val="24"/>
        </w:rPr>
        <w:t xml:space="preserve"> does not start out being informed </w:t>
      </w:r>
      <w:r w:rsidR="00655D35">
        <w:rPr>
          <w:rFonts w:ascii="Times New Roman" w:hAnsi="Times New Roman" w:cs="Times New Roman"/>
          <w:sz w:val="24"/>
          <w:szCs w:val="24"/>
        </w:rPr>
        <w:t>concerning</w:t>
      </w:r>
      <w:r w:rsidRPr="005E3083">
        <w:rPr>
          <w:rFonts w:ascii="Times New Roman" w:hAnsi="Times New Roman" w:cs="Times New Roman"/>
          <w:sz w:val="24"/>
          <w:szCs w:val="24"/>
        </w:rPr>
        <w:t xml:space="preserve"> what externalities </w:t>
      </w:r>
      <w:r w:rsidR="003B52FB">
        <w:rPr>
          <w:rFonts w:ascii="Times New Roman" w:hAnsi="Times New Roman" w:cs="Times New Roman"/>
          <w:sz w:val="24"/>
          <w:szCs w:val="24"/>
        </w:rPr>
        <w:t>are</w:t>
      </w:r>
      <w:r w:rsidRPr="005E3083">
        <w:rPr>
          <w:rFonts w:ascii="Times New Roman" w:hAnsi="Times New Roman" w:cs="Times New Roman"/>
          <w:sz w:val="24"/>
          <w:szCs w:val="24"/>
        </w:rPr>
        <w:t xml:space="preserve"> being generated by each corporation in </w:t>
      </w:r>
      <w:r w:rsidR="003B52FB">
        <w:rPr>
          <w:rFonts w:ascii="Times New Roman" w:hAnsi="Times New Roman" w:cs="Times New Roman"/>
          <w:sz w:val="24"/>
          <w:szCs w:val="24"/>
        </w:rPr>
        <w:t xml:space="preserve">which </w:t>
      </w:r>
      <w:r w:rsidRPr="005E3083">
        <w:rPr>
          <w:rFonts w:ascii="Times New Roman" w:hAnsi="Times New Roman" w:cs="Times New Roman"/>
          <w:sz w:val="24"/>
          <w:szCs w:val="24"/>
        </w:rPr>
        <w:t>she has equity interests</w:t>
      </w:r>
      <w:r w:rsidR="00D21A56">
        <w:rPr>
          <w:rFonts w:ascii="Times New Roman" w:hAnsi="Times New Roman" w:cs="Times New Roman"/>
          <w:sz w:val="24"/>
          <w:szCs w:val="24"/>
        </w:rPr>
        <w:t xml:space="preserve">, </w:t>
      </w:r>
      <w:r w:rsidRPr="005E3083">
        <w:rPr>
          <w:rFonts w:ascii="Times New Roman" w:hAnsi="Times New Roman" w:cs="Times New Roman"/>
          <w:sz w:val="24"/>
          <w:szCs w:val="24"/>
        </w:rPr>
        <w:t>what it would cost to correct them</w:t>
      </w:r>
      <w:r w:rsidR="00D21A56">
        <w:rPr>
          <w:rFonts w:ascii="Times New Roman" w:hAnsi="Times New Roman" w:cs="Times New Roman"/>
          <w:sz w:val="24"/>
          <w:szCs w:val="24"/>
        </w:rPr>
        <w:t>, and what would be gained</w:t>
      </w:r>
      <w:r w:rsidRPr="005E3083">
        <w:rPr>
          <w:rFonts w:ascii="Times New Roman" w:hAnsi="Times New Roman" w:cs="Times New Roman"/>
          <w:sz w:val="24"/>
          <w:szCs w:val="24"/>
        </w:rPr>
        <w:t xml:space="preserve">. The relevant policy question is: would a real world implementation of a subject-broadening shareholder franchise result in social gains exceeding any resulting costs. </w:t>
      </w:r>
    </w:p>
    <w:p w14:paraId="2324B740" w14:textId="4A22B53C" w:rsidR="00675307" w:rsidRDefault="00004D2D" w:rsidP="00F355E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9F3E7E" w:rsidRPr="005E3083">
        <w:rPr>
          <w:rFonts w:ascii="Times New Roman" w:hAnsi="Times New Roman" w:cs="Times New Roman"/>
          <w:sz w:val="24"/>
          <w:szCs w:val="24"/>
        </w:rPr>
        <w:t xml:space="preserve">The costs </w:t>
      </w:r>
      <w:r>
        <w:rPr>
          <w:rFonts w:ascii="Times New Roman" w:hAnsi="Times New Roman" w:cs="Times New Roman"/>
          <w:sz w:val="24"/>
          <w:szCs w:val="24"/>
        </w:rPr>
        <w:t xml:space="preserve">of this broadened shareholder mandate </w:t>
      </w:r>
      <w:r w:rsidR="009F3E7E" w:rsidRPr="005E3083">
        <w:rPr>
          <w:rFonts w:ascii="Times New Roman" w:hAnsi="Times New Roman" w:cs="Times New Roman"/>
          <w:sz w:val="24"/>
          <w:szCs w:val="24"/>
        </w:rPr>
        <w:t xml:space="preserve">would include the costs of implementation such as the mechanics of voting and, importantly, the costs associated with </w:t>
      </w:r>
      <w:r w:rsidR="00047AD6">
        <w:rPr>
          <w:rFonts w:ascii="Times New Roman" w:hAnsi="Times New Roman" w:cs="Times New Roman"/>
          <w:sz w:val="24"/>
          <w:szCs w:val="24"/>
        </w:rPr>
        <w:t xml:space="preserve">having shareholders </w:t>
      </w:r>
      <w:r w:rsidR="009F3E7E" w:rsidRPr="005E3083">
        <w:rPr>
          <w:rFonts w:ascii="Times New Roman" w:hAnsi="Times New Roman" w:cs="Times New Roman"/>
          <w:sz w:val="24"/>
          <w:szCs w:val="24"/>
        </w:rPr>
        <w:t>acquir</w:t>
      </w:r>
      <w:r w:rsidR="00047AD6">
        <w:rPr>
          <w:rFonts w:ascii="Times New Roman" w:hAnsi="Times New Roman" w:cs="Times New Roman"/>
          <w:sz w:val="24"/>
          <w:szCs w:val="24"/>
        </w:rPr>
        <w:t xml:space="preserve">e </w:t>
      </w:r>
      <w:r w:rsidR="009F3E7E" w:rsidRPr="005E3083">
        <w:rPr>
          <w:rFonts w:ascii="Times New Roman" w:hAnsi="Times New Roman" w:cs="Times New Roman"/>
          <w:sz w:val="24"/>
          <w:szCs w:val="24"/>
        </w:rPr>
        <w:t>and process the information necessary to use the vote meaningfully</w:t>
      </w:r>
      <w:r w:rsidR="00047AD6">
        <w:rPr>
          <w:rFonts w:ascii="Times New Roman" w:hAnsi="Times New Roman" w:cs="Times New Roman"/>
          <w:sz w:val="24"/>
          <w:szCs w:val="24"/>
        </w:rPr>
        <w:t xml:space="preserve"> and with mobilizing their votes</w:t>
      </w:r>
      <w:r w:rsidR="009F3E7E" w:rsidRPr="005E3083">
        <w:rPr>
          <w:rFonts w:ascii="Times New Roman" w:hAnsi="Times New Roman" w:cs="Times New Roman"/>
          <w:sz w:val="24"/>
          <w:szCs w:val="24"/>
        </w:rPr>
        <w:t>,</w:t>
      </w:r>
      <w:r w:rsidR="009F3E7E" w:rsidRPr="005E3083">
        <w:rPr>
          <w:rStyle w:val="FootnoteReference"/>
          <w:rFonts w:ascii="Times New Roman" w:hAnsi="Times New Roman" w:cs="Times New Roman"/>
          <w:sz w:val="24"/>
          <w:szCs w:val="24"/>
        </w:rPr>
        <w:footnoteReference w:id="58"/>
      </w:r>
      <w:r w:rsidR="009F3E7E" w:rsidRPr="005E3083">
        <w:rPr>
          <w:rFonts w:ascii="Times New Roman" w:hAnsi="Times New Roman" w:cs="Times New Roman"/>
          <w:sz w:val="24"/>
          <w:szCs w:val="24"/>
        </w:rPr>
        <w:t xml:space="preserve"> </w:t>
      </w:r>
      <w:r w:rsidR="0059601E">
        <w:rPr>
          <w:rFonts w:ascii="Times New Roman" w:hAnsi="Times New Roman" w:cs="Times New Roman"/>
          <w:sz w:val="24"/>
          <w:szCs w:val="24"/>
        </w:rPr>
        <w:t xml:space="preserve">and the diversion of political energy and resources from the public political sphere that such firm by firm efforts would imply, </w:t>
      </w:r>
      <w:r w:rsidR="00047AD6">
        <w:rPr>
          <w:rFonts w:ascii="Times New Roman" w:hAnsi="Times New Roman" w:cs="Times New Roman"/>
          <w:sz w:val="24"/>
          <w:szCs w:val="24"/>
        </w:rPr>
        <w:t xml:space="preserve">all </w:t>
      </w:r>
      <w:r w:rsidR="009F3E7E" w:rsidRPr="005E3083">
        <w:rPr>
          <w:rFonts w:ascii="Times New Roman" w:hAnsi="Times New Roman" w:cs="Times New Roman"/>
          <w:sz w:val="24"/>
          <w:szCs w:val="24"/>
        </w:rPr>
        <w:t xml:space="preserve">topics we have already </w:t>
      </w:r>
      <w:r w:rsidR="0059601E">
        <w:rPr>
          <w:rFonts w:ascii="Times New Roman" w:hAnsi="Times New Roman" w:cs="Times New Roman"/>
          <w:sz w:val="24"/>
          <w:szCs w:val="24"/>
        </w:rPr>
        <w:t xml:space="preserve">begun to </w:t>
      </w:r>
      <w:r w:rsidR="009F3E7E" w:rsidRPr="005E3083">
        <w:rPr>
          <w:rFonts w:ascii="Times New Roman" w:hAnsi="Times New Roman" w:cs="Times New Roman"/>
          <w:sz w:val="24"/>
          <w:szCs w:val="24"/>
        </w:rPr>
        <w:t>address in the discussion above concerning using director election</w:t>
      </w:r>
      <w:r w:rsidR="003B52FB">
        <w:rPr>
          <w:rFonts w:ascii="Times New Roman" w:hAnsi="Times New Roman" w:cs="Times New Roman"/>
          <w:sz w:val="24"/>
          <w:szCs w:val="24"/>
        </w:rPr>
        <w:t>s</w:t>
      </w:r>
      <w:r w:rsidR="009F3E7E" w:rsidRPr="005E3083">
        <w:rPr>
          <w:rFonts w:ascii="Times New Roman" w:hAnsi="Times New Roman" w:cs="Times New Roman"/>
          <w:sz w:val="24"/>
          <w:szCs w:val="24"/>
        </w:rPr>
        <w:t xml:space="preserve"> as a vehicle to promote eternality-reducing deviations from share value maximization. </w:t>
      </w:r>
      <w:r w:rsidR="0059601E">
        <w:rPr>
          <w:rFonts w:ascii="Times New Roman" w:hAnsi="Times New Roman" w:cs="Times New Roman"/>
          <w:sz w:val="24"/>
          <w:szCs w:val="24"/>
        </w:rPr>
        <w:t>This interaction between, and comparison of, efforts to control corporate behavior through governmental action and efforts to do so through the proposed H&amp;Z reform is a matter deserving of deeper study</w:t>
      </w:r>
      <w:r w:rsidR="00047AD6">
        <w:rPr>
          <w:rFonts w:ascii="Times New Roman" w:hAnsi="Times New Roman" w:cs="Times New Roman"/>
          <w:sz w:val="24"/>
          <w:szCs w:val="24"/>
        </w:rPr>
        <w:t>, something we would like to pursue in further work</w:t>
      </w:r>
      <w:r w:rsidR="0059601E">
        <w:rPr>
          <w:rFonts w:ascii="Times New Roman" w:hAnsi="Times New Roman" w:cs="Times New Roman"/>
          <w:sz w:val="24"/>
          <w:szCs w:val="24"/>
        </w:rPr>
        <w:t xml:space="preserve">.  At this point, all we can say is that </w:t>
      </w:r>
      <w:r w:rsidR="00047AD6">
        <w:rPr>
          <w:rFonts w:ascii="Times New Roman" w:hAnsi="Times New Roman" w:cs="Times New Roman"/>
          <w:sz w:val="24"/>
          <w:szCs w:val="24"/>
        </w:rPr>
        <w:t xml:space="preserve">the diversion of political energy and resources </w:t>
      </w:r>
      <w:r w:rsidR="0059601E">
        <w:rPr>
          <w:rFonts w:ascii="Times New Roman" w:hAnsi="Times New Roman" w:cs="Times New Roman"/>
          <w:sz w:val="24"/>
          <w:szCs w:val="24"/>
        </w:rPr>
        <w:t>would appear to us to be a serious problem.</w:t>
      </w:r>
    </w:p>
    <w:p w14:paraId="67DD532E" w14:textId="0AAB5CFC" w:rsidR="00004D2D" w:rsidRDefault="00675307" w:rsidP="00F355E2">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9F3E7E" w:rsidRPr="005E3083">
        <w:rPr>
          <w:rFonts w:ascii="Times New Roman" w:hAnsi="Times New Roman" w:cs="Times New Roman"/>
          <w:sz w:val="24"/>
          <w:szCs w:val="24"/>
        </w:rPr>
        <w:t xml:space="preserve">The costs </w:t>
      </w:r>
      <w:r w:rsidR="0059601E">
        <w:rPr>
          <w:rFonts w:ascii="Times New Roman" w:hAnsi="Times New Roman" w:cs="Times New Roman"/>
          <w:sz w:val="24"/>
          <w:szCs w:val="24"/>
        </w:rPr>
        <w:t xml:space="preserve">of the proposed H&amp;Z reform </w:t>
      </w:r>
      <w:r w:rsidR="009F3E7E" w:rsidRPr="005E3083">
        <w:rPr>
          <w:rFonts w:ascii="Times New Roman" w:hAnsi="Times New Roman" w:cs="Times New Roman"/>
          <w:sz w:val="24"/>
          <w:szCs w:val="24"/>
        </w:rPr>
        <w:t xml:space="preserve">would also include error costs where, for example, the share-value-maximizing behavior from which a majority vote to deviate is not in fact associated with any market imperfection (the vote having been prompted, perhaps, by a party </w:t>
      </w:r>
      <w:r w:rsidR="00655D35">
        <w:rPr>
          <w:rFonts w:ascii="Times New Roman" w:hAnsi="Times New Roman" w:cs="Times New Roman"/>
          <w:sz w:val="24"/>
          <w:szCs w:val="24"/>
        </w:rPr>
        <w:t xml:space="preserve">who is in fact only </w:t>
      </w:r>
      <w:r w:rsidR="009F3E7E" w:rsidRPr="005E3083">
        <w:rPr>
          <w:rFonts w:ascii="Times New Roman" w:hAnsi="Times New Roman" w:cs="Times New Roman"/>
          <w:sz w:val="24"/>
          <w:szCs w:val="24"/>
        </w:rPr>
        <w:t xml:space="preserve">interested in changing </w:t>
      </w:r>
      <w:r w:rsidR="00655D35">
        <w:rPr>
          <w:rFonts w:ascii="Times New Roman" w:hAnsi="Times New Roman" w:cs="Times New Roman"/>
          <w:sz w:val="24"/>
          <w:szCs w:val="24"/>
        </w:rPr>
        <w:t xml:space="preserve">the </w:t>
      </w:r>
      <w:r w:rsidR="009F3E7E" w:rsidRPr="005E3083">
        <w:rPr>
          <w:rFonts w:ascii="Times New Roman" w:hAnsi="Times New Roman" w:cs="Times New Roman"/>
          <w:sz w:val="24"/>
          <w:szCs w:val="24"/>
        </w:rPr>
        <w:t xml:space="preserve">corporation’s behavior for private gain </w:t>
      </w:r>
      <w:r w:rsidR="00655D35">
        <w:rPr>
          <w:rFonts w:ascii="Times New Roman" w:hAnsi="Times New Roman" w:cs="Times New Roman"/>
          <w:sz w:val="24"/>
          <w:szCs w:val="24"/>
        </w:rPr>
        <w:t xml:space="preserve">but </w:t>
      </w:r>
      <w:r w:rsidR="009F3E7E" w:rsidRPr="005E3083">
        <w:rPr>
          <w:rFonts w:ascii="Times New Roman" w:hAnsi="Times New Roman" w:cs="Times New Roman"/>
          <w:sz w:val="24"/>
          <w:szCs w:val="24"/>
        </w:rPr>
        <w:t xml:space="preserve">who </w:t>
      </w:r>
      <w:r w:rsidR="00655D35">
        <w:rPr>
          <w:rFonts w:ascii="Times New Roman" w:hAnsi="Times New Roman" w:cs="Times New Roman"/>
          <w:sz w:val="24"/>
          <w:szCs w:val="24"/>
        </w:rPr>
        <w:t xml:space="preserve">falsely </w:t>
      </w:r>
      <w:r w:rsidR="009F3E7E" w:rsidRPr="005E3083">
        <w:rPr>
          <w:rFonts w:ascii="Times New Roman" w:hAnsi="Times New Roman" w:cs="Times New Roman"/>
          <w:sz w:val="24"/>
          <w:szCs w:val="24"/>
        </w:rPr>
        <w:t>claims the existence of a market imperfection), or where the share-value-maximizing behavior would have been associated with a market imperfection but the substitute behavior adopted by shareholders involves an over-correction.</w:t>
      </w:r>
      <w:r w:rsidR="004A528C" w:rsidRPr="004A528C">
        <w:rPr>
          <w:rStyle w:val="FootnoteReference"/>
          <w:rFonts w:ascii="Times New Roman" w:hAnsi="Times New Roman" w:cs="Times New Roman"/>
          <w:sz w:val="24"/>
          <w:szCs w:val="24"/>
        </w:rPr>
        <w:t xml:space="preserve"> </w:t>
      </w:r>
    </w:p>
    <w:p w14:paraId="1B89B61B" w14:textId="262D00BA" w:rsidR="009F3E7E" w:rsidRPr="005E3083" w:rsidRDefault="00004D2D" w:rsidP="00F355E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734759">
        <w:rPr>
          <w:rFonts w:ascii="Times New Roman" w:hAnsi="Times New Roman" w:cs="Times New Roman"/>
          <w:sz w:val="24"/>
          <w:szCs w:val="24"/>
        </w:rPr>
        <w:t>Equally</w:t>
      </w:r>
      <w:r>
        <w:rPr>
          <w:rFonts w:ascii="Times New Roman" w:hAnsi="Times New Roman" w:cs="Times New Roman"/>
          <w:sz w:val="24"/>
          <w:szCs w:val="24"/>
        </w:rPr>
        <w:t xml:space="preserve"> important, perhaps, </w:t>
      </w:r>
      <w:r w:rsidR="009F3E7E" w:rsidRPr="005E3083">
        <w:rPr>
          <w:rFonts w:ascii="Times New Roman" w:hAnsi="Times New Roman" w:cs="Times New Roman"/>
          <w:sz w:val="24"/>
          <w:szCs w:val="24"/>
        </w:rPr>
        <w:t>as discussed further below, for the subject-matter-broadened franchise to be effective in changing corporate behavior, there will need to be some softening of the other elements of our current system of corporate governance. These other elements all shape the management’s incentive structure in ways that encourage share-value-maximizing behavior</w:t>
      </w:r>
      <w:r>
        <w:rPr>
          <w:rFonts w:ascii="Times New Roman" w:hAnsi="Times New Roman" w:cs="Times New Roman"/>
          <w:sz w:val="24"/>
          <w:szCs w:val="24"/>
        </w:rPr>
        <w:t xml:space="preserve">.  Unless there is such a softening, corporate managers, who will be tasked with implementing the change in policy, will be motived to frustrate it. Yet a </w:t>
      </w:r>
      <w:r w:rsidR="009F3E7E" w:rsidRPr="005E3083">
        <w:rPr>
          <w:rFonts w:ascii="Times New Roman" w:hAnsi="Times New Roman" w:cs="Times New Roman"/>
          <w:sz w:val="24"/>
          <w:szCs w:val="24"/>
        </w:rPr>
        <w:t xml:space="preserve">softening of these elements </w:t>
      </w:r>
      <w:r w:rsidR="00F632D0">
        <w:rPr>
          <w:rFonts w:ascii="Times New Roman" w:hAnsi="Times New Roman" w:cs="Times New Roman"/>
          <w:sz w:val="24"/>
          <w:szCs w:val="24"/>
        </w:rPr>
        <w:t xml:space="preserve">will most likely </w:t>
      </w:r>
      <w:r w:rsidR="009F3E7E" w:rsidRPr="005E3083">
        <w:rPr>
          <w:rFonts w:ascii="Times New Roman" w:hAnsi="Times New Roman" w:cs="Times New Roman"/>
          <w:sz w:val="24"/>
          <w:szCs w:val="24"/>
        </w:rPr>
        <w:t>result in managers running the company in a more self-serving</w:t>
      </w:r>
      <w:r w:rsidR="00431492">
        <w:rPr>
          <w:rFonts w:ascii="Times New Roman" w:hAnsi="Times New Roman" w:cs="Times New Roman"/>
          <w:sz w:val="24"/>
          <w:szCs w:val="24"/>
        </w:rPr>
        <w:t xml:space="preserve"> fashion</w:t>
      </w:r>
      <w:r w:rsidR="00796064">
        <w:rPr>
          <w:rFonts w:ascii="Times New Roman" w:hAnsi="Times New Roman" w:cs="Times New Roman"/>
          <w:sz w:val="24"/>
          <w:szCs w:val="24"/>
        </w:rPr>
        <w:t xml:space="preserve">. </w:t>
      </w:r>
      <w:r w:rsidR="00431492">
        <w:rPr>
          <w:rFonts w:ascii="Times New Roman" w:hAnsi="Times New Roman" w:cs="Times New Roman"/>
          <w:sz w:val="24"/>
          <w:szCs w:val="24"/>
        </w:rPr>
        <w:t xml:space="preserve">The social welfare losses </w:t>
      </w:r>
      <w:r w:rsidR="00655D35">
        <w:rPr>
          <w:rFonts w:ascii="Times New Roman" w:hAnsi="Times New Roman" w:cs="Times New Roman"/>
          <w:sz w:val="24"/>
          <w:szCs w:val="24"/>
        </w:rPr>
        <w:t>arising from</w:t>
      </w:r>
      <w:r w:rsidR="00431492">
        <w:rPr>
          <w:rFonts w:ascii="Times New Roman" w:hAnsi="Times New Roman" w:cs="Times New Roman"/>
          <w:sz w:val="24"/>
          <w:szCs w:val="24"/>
        </w:rPr>
        <w:t xml:space="preserve"> the company being run in a </w:t>
      </w:r>
      <w:r w:rsidR="00655D35">
        <w:rPr>
          <w:rFonts w:ascii="Times New Roman" w:hAnsi="Times New Roman" w:cs="Times New Roman"/>
          <w:sz w:val="24"/>
          <w:szCs w:val="24"/>
        </w:rPr>
        <w:t xml:space="preserve">way that serves management’s private interests </w:t>
      </w:r>
      <w:r w:rsidR="00F632D0">
        <w:rPr>
          <w:rFonts w:ascii="Times New Roman" w:hAnsi="Times New Roman" w:cs="Times New Roman"/>
          <w:sz w:val="24"/>
          <w:szCs w:val="24"/>
        </w:rPr>
        <w:t xml:space="preserve">at the cost of shareholders </w:t>
      </w:r>
      <w:r w:rsidR="00431492">
        <w:rPr>
          <w:rFonts w:ascii="Times New Roman" w:hAnsi="Times New Roman" w:cs="Times New Roman"/>
          <w:sz w:val="24"/>
          <w:szCs w:val="24"/>
        </w:rPr>
        <w:t xml:space="preserve">may overwhelm the social welfare gains from the market imperfection corrections </w:t>
      </w:r>
      <w:r w:rsidR="00F14A2D">
        <w:rPr>
          <w:rFonts w:ascii="Times New Roman" w:hAnsi="Times New Roman" w:cs="Times New Roman"/>
          <w:sz w:val="24"/>
          <w:szCs w:val="24"/>
        </w:rPr>
        <w:t xml:space="preserve">that a </w:t>
      </w:r>
      <w:r w:rsidR="00431492">
        <w:rPr>
          <w:rFonts w:ascii="Times New Roman" w:hAnsi="Times New Roman" w:cs="Times New Roman"/>
          <w:sz w:val="24"/>
          <w:szCs w:val="24"/>
        </w:rPr>
        <w:t>broadened franchise</w:t>
      </w:r>
      <w:r w:rsidR="00F14A2D">
        <w:rPr>
          <w:rFonts w:ascii="Times New Roman" w:hAnsi="Times New Roman" w:cs="Times New Roman"/>
          <w:sz w:val="24"/>
          <w:szCs w:val="24"/>
        </w:rPr>
        <w:t xml:space="preserve"> might </w:t>
      </w:r>
      <w:r w:rsidR="00856A34">
        <w:rPr>
          <w:rFonts w:ascii="Times New Roman" w:hAnsi="Times New Roman" w:cs="Times New Roman"/>
          <w:sz w:val="24"/>
          <w:szCs w:val="24"/>
        </w:rPr>
        <w:t>yield</w:t>
      </w:r>
      <w:r w:rsidR="00431492">
        <w:rPr>
          <w:rFonts w:ascii="Times New Roman" w:hAnsi="Times New Roman" w:cs="Times New Roman"/>
          <w:sz w:val="24"/>
          <w:szCs w:val="24"/>
        </w:rPr>
        <w:t>.</w:t>
      </w:r>
      <w:r w:rsidR="002C64D4">
        <w:rPr>
          <w:rStyle w:val="FootnoteReference"/>
          <w:rFonts w:ascii="Times New Roman" w:hAnsi="Times New Roman" w:cs="Times New Roman"/>
          <w:sz w:val="24"/>
          <w:szCs w:val="24"/>
        </w:rPr>
        <w:footnoteReference w:id="59"/>
      </w:r>
    </w:p>
    <w:p w14:paraId="0D1BE275" w14:textId="4D5FA26E" w:rsidR="009F3E7E" w:rsidRPr="005E3083" w:rsidRDefault="009F3E7E" w:rsidP="00F355E2">
      <w:pPr>
        <w:spacing w:after="0" w:line="480" w:lineRule="auto"/>
        <w:jc w:val="both"/>
        <w:rPr>
          <w:rFonts w:ascii="Times New Roman" w:hAnsi="Times New Roman" w:cs="Times New Roman"/>
          <w:sz w:val="24"/>
          <w:szCs w:val="24"/>
        </w:rPr>
      </w:pPr>
      <w:r w:rsidRPr="005E3083">
        <w:rPr>
          <w:rFonts w:ascii="Times New Roman" w:hAnsi="Times New Roman" w:cs="Times New Roman"/>
          <w:sz w:val="24"/>
          <w:szCs w:val="24"/>
        </w:rPr>
        <w:tab/>
      </w:r>
      <w:r w:rsidR="003C693F">
        <w:rPr>
          <w:rFonts w:ascii="Times New Roman" w:hAnsi="Times New Roman" w:cs="Times New Roman"/>
          <w:sz w:val="24"/>
          <w:szCs w:val="24"/>
        </w:rPr>
        <w:t>T</w:t>
      </w:r>
      <w:r w:rsidRPr="005E3083">
        <w:rPr>
          <w:rFonts w:ascii="Times New Roman" w:hAnsi="Times New Roman" w:cs="Times New Roman"/>
          <w:sz w:val="24"/>
          <w:szCs w:val="24"/>
        </w:rPr>
        <w:t xml:space="preserve">he new attention on harnessing corporate effort to solve social ends </w:t>
      </w:r>
      <w:r w:rsidR="003C693F">
        <w:rPr>
          <w:rFonts w:ascii="Times New Roman" w:hAnsi="Times New Roman" w:cs="Times New Roman"/>
          <w:sz w:val="24"/>
          <w:szCs w:val="24"/>
        </w:rPr>
        <w:t xml:space="preserve">appears to be </w:t>
      </w:r>
      <w:r w:rsidRPr="005E3083">
        <w:rPr>
          <w:rFonts w:ascii="Times New Roman" w:hAnsi="Times New Roman" w:cs="Times New Roman"/>
          <w:sz w:val="24"/>
          <w:szCs w:val="24"/>
        </w:rPr>
        <w:t xml:space="preserve">prompted by a general sense that the </w:t>
      </w:r>
      <w:r w:rsidR="00655D35">
        <w:rPr>
          <w:rFonts w:ascii="Times New Roman" w:hAnsi="Times New Roman" w:cs="Times New Roman"/>
          <w:sz w:val="24"/>
          <w:szCs w:val="24"/>
        </w:rPr>
        <w:t xml:space="preserve">governmental </w:t>
      </w:r>
      <w:r w:rsidRPr="005E3083">
        <w:rPr>
          <w:rFonts w:ascii="Times New Roman" w:hAnsi="Times New Roman" w:cs="Times New Roman"/>
          <w:sz w:val="24"/>
          <w:szCs w:val="24"/>
        </w:rPr>
        <w:t>political system is not doing its job</w:t>
      </w:r>
      <w:r w:rsidR="003C693F">
        <w:rPr>
          <w:rFonts w:ascii="Times New Roman" w:hAnsi="Times New Roman" w:cs="Times New Roman"/>
          <w:sz w:val="24"/>
          <w:szCs w:val="24"/>
        </w:rPr>
        <w:t>. R</w:t>
      </w:r>
      <w:r w:rsidRPr="005E3083">
        <w:rPr>
          <w:rFonts w:ascii="Times New Roman" w:hAnsi="Times New Roman" w:cs="Times New Roman"/>
          <w:sz w:val="24"/>
          <w:szCs w:val="24"/>
        </w:rPr>
        <w:t xml:space="preserve">eforming corporate governance </w:t>
      </w:r>
      <w:r w:rsidR="003C693F">
        <w:rPr>
          <w:rFonts w:ascii="Times New Roman" w:hAnsi="Times New Roman" w:cs="Times New Roman"/>
          <w:sz w:val="24"/>
          <w:szCs w:val="24"/>
        </w:rPr>
        <w:t xml:space="preserve">is viewed </w:t>
      </w:r>
      <w:r w:rsidRPr="005E3083">
        <w:rPr>
          <w:rFonts w:ascii="Times New Roman" w:hAnsi="Times New Roman" w:cs="Times New Roman"/>
          <w:sz w:val="24"/>
          <w:szCs w:val="24"/>
        </w:rPr>
        <w:t>as the next best</w:t>
      </w:r>
      <w:r w:rsidR="003C693F">
        <w:rPr>
          <w:rFonts w:ascii="Times New Roman" w:hAnsi="Times New Roman" w:cs="Times New Roman"/>
          <w:sz w:val="24"/>
          <w:szCs w:val="24"/>
        </w:rPr>
        <w:t>, and more attainable,</w:t>
      </w:r>
      <w:r w:rsidRPr="005E3083">
        <w:rPr>
          <w:rFonts w:ascii="Times New Roman" w:hAnsi="Times New Roman" w:cs="Times New Roman"/>
          <w:sz w:val="24"/>
          <w:szCs w:val="24"/>
        </w:rPr>
        <w:t xml:space="preserve"> alternative</w:t>
      </w:r>
      <w:r w:rsidR="00F1164A">
        <w:rPr>
          <w:rFonts w:ascii="Times New Roman" w:hAnsi="Times New Roman" w:cs="Times New Roman"/>
          <w:sz w:val="24"/>
          <w:szCs w:val="24"/>
        </w:rPr>
        <w:t>.</w:t>
      </w:r>
      <w:r w:rsidR="00D21A56">
        <w:rPr>
          <w:rFonts w:ascii="Times New Roman" w:hAnsi="Times New Roman" w:cs="Times New Roman"/>
          <w:sz w:val="24"/>
          <w:szCs w:val="24"/>
        </w:rPr>
        <w:t xml:space="preserve"> </w:t>
      </w:r>
      <w:r w:rsidR="00F1164A">
        <w:rPr>
          <w:rFonts w:ascii="Times New Roman" w:hAnsi="Times New Roman" w:cs="Times New Roman"/>
          <w:sz w:val="24"/>
          <w:szCs w:val="24"/>
        </w:rPr>
        <w:t>T</w:t>
      </w:r>
      <w:r w:rsidR="00D21A56">
        <w:rPr>
          <w:rFonts w:ascii="Times New Roman" w:hAnsi="Times New Roman" w:cs="Times New Roman"/>
          <w:sz w:val="24"/>
          <w:szCs w:val="24"/>
        </w:rPr>
        <w:t>hings</w:t>
      </w:r>
      <w:r w:rsidR="0002771B">
        <w:rPr>
          <w:rFonts w:ascii="Times New Roman" w:hAnsi="Times New Roman" w:cs="Times New Roman"/>
          <w:sz w:val="24"/>
          <w:szCs w:val="24"/>
        </w:rPr>
        <w:t xml:space="preserve"> </w:t>
      </w:r>
      <w:r w:rsidRPr="005E3083">
        <w:rPr>
          <w:rFonts w:ascii="Times New Roman" w:hAnsi="Times New Roman" w:cs="Times New Roman"/>
          <w:sz w:val="24"/>
          <w:szCs w:val="24"/>
        </w:rPr>
        <w:t xml:space="preserve">may not </w:t>
      </w:r>
      <w:r w:rsidRPr="005E3083">
        <w:rPr>
          <w:rFonts w:ascii="Times New Roman" w:hAnsi="Times New Roman" w:cs="Times New Roman"/>
          <w:sz w:val="24"/>
          <w:szCs w:val="24"/>
        </w:rPr>
        <w:lastRenderedPageBreak/>
        <w:t>be as simple as it might first appear</w:t>
      </w:r>
      <w:r w:rsidR="00F1164A">
        <w:rPr>
          <w:rFonts w:ascii="Times New Roman" w:hAnsi="Times New Roman" w:cs="Times New Roman"/>
          <w:sz w:val="24"/>
          <w:szCs w:val="24"/>
        </w:rPr>
        <w:t>, however</w:t>
      </w:r>
      <w:r w:rsidR="00796064">
        <w:rPr>
          <w:rFonts w:ascii="Times New Roman" w:hAnsi="Times New Roman" w:cs="Times New Roman"/>
          <w:sz w:val="24"/>
          <w:szCs w:val="24"/>
        </w:rPr>
        <w:t xml:space="preserve">. </w:t>
      </w:r>
      <w:r w:rsidR="00EE6D38">
        <w:rPr>
          <w:rFonts w:ascii="Times New Roman" w:hAnsi="Times New Roman" w:cs="Times New Roman"/>
          <w:sz w:val="24"/>
          <w:szCs w:val="24"/>
        </w:rPr>
        <w:t>As discussed in the conclusion to this paper, m</w:t>
      </w:r>
      <w:r w:rsidRPr="005E3083">
        <w:rPr>
          <w:rFonts w:ascii="Times New Roman" w:hAnsi="Times New Roman" w:cs="Times New Roman"/>
          <w:sz w:val="24"/>
          <w:szCs w:val="24"/>
        </w:rPr>
        <w:t>aking this next best alternative work will itself require large amounts of political activity, energy that perhaps is better directed at fixing the first best system.</w:t>
      </w:r>
      <w:r w:rsidR="004A528C" w:rsidRPr="005E3083">
        <w:rPr>
          <w:rStyle w:val="FootnoteReference"/>
          <w:rFonts w:ascii="Times New Roman" w:hAnsi="Times New Roman" w:cs="Times New Roman"/>
          <w:sz w:val="24"/>
          <w:szCs w:val="24"/>
        </w:rPr>
        <w:footnoteReference w:id="60"/>
      </w:r>
      <w:r w:rsidRPr="005E3083">
        <w:rPr>
          <w:rFonts w:ascii="Times New Roman" w:hAnsi="Times New Roman" w:cs="Times New Roman"/>
          <w:sz w:val="24"/>
          <w:szCs w:val="24"/>
        </w:rPr>
        <w:tab/>
        <w:t xml:space="preserve"> </w:t>
      </w:r>
    </w:p>
    <w:p w14:paraId="01CB6246" w14:textId="4D8C48A7" w:rsidR="009F3E7E" w:rsidRPr="005E3083" w:rsidRDefault="009F3E7E" w:rsidP="00F355E2">
      <w:pPr>
        <w:spacing w:after="0" w:line="480" w:lineRule="auto"/>
        <w:jc w:val="both"/>
        <w:rPr>
          <w:rFonts w:ascii="Times New Roman" w:hAnsi="Times New Roman" w:cs="Times New Roman"/>
          <w:sz w:val="24"/>
          <w:szCs w:val="24"/>
        </w:rPr>
      </w:pPr>
      <w:r w:rsidRPr="005E3083">
        <w:rPr>
          <w:rFonts w:ascii="Times New Roman" w:hAnsi="Times New Roman" w:cs="Times New Roman"/>
          <w:sz w:val="24"/>
          <w:szCs w:val="24"/>
        </w:rPr>
        <w:tab/>
      </w:r>
      <w:r w:rsidRPr="005E3083">
        <w:rPr>
          <w:rFonts w:ascii="Times New Roman" w:hAnsi="Times New Roman" w:cs="Times New Roman"/>
          <w:i/>
          <w:sz w:val="24"/>
          <w:szCs w:val="24"/>
        </w:rPr>
        <w:t>4. Deviations from share value maximization to further redistributional ends.</w:t>
      </w:r>
      <w:r w:rsidRPr="005E3083">
        <w:rPr>
          <w:rFonts w:ascii="Times New Roman" w:hAnsi="Times New Roman" w:cs="Times New Roman"/>
          <w:sz w:val="24"/>
          <w:szCs w:val="24"/>
        </w:rPr>
        <w:t xml:space="preserve"> The H&amp;Z model is strictly about correcting market imperfections, not about distribution. In their model, if the corporation changes behavior, the voting shareholder gets equal pleasure in proportion to the gains of every gainer, whether the gainer is rich or poor, and similarly experiences equal sadness in proportion to the losses of every loser. Social concern-based shareholder efforts to change corporate behavior, however, often reflect at least in part distributive concerns. For example, climate-change inducing-carbon emissions will likely negatively impact the poor around the world more than the rich. Similarly, calls for a corporation to embrace diversity in hiring and promotion may at least in part reflect the proponent’s desire for the corporation to use its resources to correct for the injustice</w:t>
      </w:r>
      <w:r w:rsidR="003D64BB">
        <w:rPr>
          <w:rFonts w:ascii="Times New Roman" w:hAnsi="Times New Roman" w:cs="Times New Roman"/>
          <w:sz w:val="24"/>
          <w:szCs w:val="24"/>
        </w:rPr>
        <w:t xml:space="preserve">s suffered by various </w:t>
      </w:r>
      <w:r w:rsidRPr="005E3083">
        <w:rPr>
          <w:rFonts w:ascii="Times New Roman" w:hAnsi="Times New Roman" w:cs="Times New Roman"/>
          <w:sz w:val="24"/>
          <w:szCs w:val="24"/>
        </w:rPr>
        <w:t xml:space="preserve">marginalized groups </w:t>
      </w:r>
      <w:r w:rsidR="003D64BB">
        <w:rPr>
          <w:rFonts w:ascii="Times New Roman" w:hAnsi="Times New Roman" w:cs="Times New Roman"/>
          <w:sz w:val="24"/>
          <w:szCs w:val="24"/>
        </w:rPr>
        <w:t xml:space="preserve">due to a long history of discrimination that has </w:t>
      </w:r>
      <w:r w:rsidRPr="005E3083">
        <w:rPr>
          <w:rFonts w:ascii="Times New Roman" w:hAnsi="Times New Roman" w:cs="Times New Roman"/>
          <w:sz w:val="24"/>
          <w:szCs w:val="24"/>
        </w:rPr>
        <w:t>infring</w:t>
      </w:r>
      <w:r w:rsidR="003D64BB">
        <w:rPr>
          <w:rFonts w:ascii="Times New Roman" w:hAnsi="Times New Roman" w:cs="Times New Roman"/>
          <w:sz w:val="24"/>
          <w:szCs w:val="24"/>
        </w:rPr>
        <w:t xml:space="preserve">ed </w:t>
      </w:r>
      <w:r w:rsidRPr="005E3083">
        <w:rPr>
          <w:rFonts w:ascii="Times New Roman" w:hAnsi="Times New Roman" w:cs="Times New Roman"/>
          <w:sz w:val="24"/>
          <w:szCs w:val="24"/>
        </w:rPr>
        <w:t>on their income earning potential</w:t>
      </w:r>
      <w:r w:rsidR="00796064">
        <w:rPr>
          <w:rFonts w:ascii="Times New Roman" w:hAnsi="Times New Roman" w:cs="Times New Roman"/>
          <w:sz w:val="24"/>
          <w:szCs w:val="24"/>
        </w:rPr>
        <w:t xml:space="preserve">. </w:t>
      </w:r>
      <w:r w:rsidRPr="005E3083">
        <w:rPr>
          <w:rFonts w:ascii="Times New Roman" w:hAnsi="Times New Roman" w:cs="Times New Roman"/>
          <w:sz w:val="24"/>
          <w:szCs w:val="24"/>
        </w:rPr>
        <w:t>Such distributive concerns could just as easily prompt use of a subject-broadened franchise as could market imperfection concerns</w:t>
      </w:r>
      <w:r w:rsidR="00796064">
        <w:rPr>
          <w:rFonts w:ascii="Times New Roman" w:hAnsi="Times New Roman" w:cs="Times New Roman"/>
          <w:sz w:val="24"/>
          <w:szCs w:val="24"/>
        </w:rPr>
        <w:t xml:space="preserve">. </w:t>
      </w:r>
      <w:r w:rsidRPr="005E3083">
        <w:rPr>
          <w:rFonts w:ascii="Times New Roman" w:hAnsi="Times New Roman" w:cs="Times New Roman"/>
          <w:sz w:val="24"/>
          <w:szCs w:val="24"/>
        </w:rPr>
        <w:t xml:space="preserve">  </w:t>
      </w:r>
    </w:p>
    <w:p w14:paraId="7285BAA5" w14:textId="2C8BEC71" w:rsidR="009F3E7E" w:rsidRPr="005E3083" w:rsidRDefault="009F3E7E" w:rsidP="00F355E2">
      <w:pPr>
        <w:spacing w:after="0" w:line="480" w:lineRule="auto"/>
        <w:jc w:val="both"/>
        <w:rPr>
          <w:rFonts w:ascii="Times New Roman" w:hAnsi="Times New Roman" w:cs="Times New Roman"/>
          <w:sz w:val="24"/>
          <w:szCs w:val="24"/>
        </w:rPr>
      </w:pPr>
      <w:r w:rsidRPr="005E3083">
        <w:rPr>
          <w:rFonts w:ascii="Times New Roman" w:hAnsi="Times New Roman" w:cs="Times New Roman"/>
          <w:sz w:val="24"/>
          <w:szCs w:val="24"/>
        </w:rPr>
        <w:tab/>
        <w:t xml:space="preserve"> To the extent that such distributive concerns would motivate use of the subject-broadened franchise reform, one can again view it as making up for some kind of governmental failure</w:t>
      </w:r>
      <w:r w:rsidR="00796064">
        <w:rPr>
          <w:rFonts w:ascii="Times New Roman" w:hAnsi="Times New Roman" w:cs="Times New Roman"/>
          <w:sz w:val="24"/>
          <w:szCs w:val="24"/>
        </w:rPr>
        <w:t xml:space="preserve">. </w:t>
      </w:r>
      <w:r w:rsidR="00EA74B9">
        <w:rPr>
          <w:rFonts w:ascii="Times New Roman" w:hAnsi="Times New Roman" w:cs="Times New Roman"/>
          <w:sz w:val="24"/>
          <w:szCs w:val="24"/>
        </w:rPr>
        <w:t xml:space="preserve">As with corporate action to correct for a market imperfection, only a small portion of the cost of corporate behavior that achieves some kind of redistributive </w:t>
      </w:r>
      <w:r w:rsidR="00F14A2D">
        <w:rPr>
          <w:rFonts w:ascii="Times New Roman" w:hAnsi="Times New Roman" w:cs="Times New Roman"/>
          <w:sz w:val="24"/>
          <w:szCs w:val="24"/>
        </w:rPr>
        <w:t xml:space="preserve">end </w:t>
      </w:r>
      <w:r w:rsidR="00EA74B9">
        <w:rPr>
          <w:rFonts w:ascii="Times New Roman" w:hAnsi="Times New Roman" w:cs="Times New Roman"/>
          <w:sz w:val="24"/>
          <w:szCs w:val="24"/>
        </w:rPr>
        <w:t xml:space="preserve">will be borne by each </w:t>
      </w:r>
      <w:r w:rsidRPr="005E3083">
        <w:rPr>
          <w:rFonts w:ascii="Times New Roman" w:hAnsi="Times New Roman" w:cs="Times New Roman"/>
          <w:sz w:val="24"/>
          <w:szCs w:val="24"/>
        </w:rPr>
        <w:t xml:space="preserve">ordinary </w:t>
      </w:r>
      <w:r w:rsidRPr="005E3083">
        <w:rPr>
          <w:rFonts w:ascii="Times New Roman" w:hAnsi="Times New Roman" w:cs="Times New Roman"/>
          <w:sz w:val="24"/>
          <w:szCs w:val="24"/>
        </w:rPr>
        <w:lastRenderedPageBreak/>
        <w:t>shareholder</w:t>
      </w:r>
      <w:r w:rsidR="00796064">
        <w:rPr>
          <w:rFonts w:ascii="Times New Roman" w:hAnsi="Times New Roman" w:cs="Times New Roman"/>
          <w:sz w:val="24"/>
          <w:szCs w:val="24"/>
        </w:rPr>
        <w:t xml:space="preserve">. </w:t>
      </w:r>
      <w:r w:rsidR="00EA74B9">
        <w:rPr>
          <w:rFonts w:ascii="Times New Roman" w:hAnsi="Times New Roman" w:cs="Times New Roman"/>
          <w:sz w:val="24"/>
          <w:szCs w:val="24"/>
        </w:rPr>
        <w:t>Still, s</w:t>
      </w:r>
      <w:r w:rsidRPr="005E3083">
        <w:rPr>
          <w:rFonts w:ascii="Times New Roman" w:hAnsi="Times New Roman" w:cs="Times New Roman"/>
          <w:sz w:val="24"/>
          <w:szCs w:val="24"/>
        </w:rPr>
        <w:t xml:space="preserve">he bears considerably more cost than </w:t>
      </w:r>
      <w:r w:rsidR="00241EA5">
        <w:rPr>
          <w:rFonts w:ascii="Times New Roman" w:hAnsi="Times New Roman" w:cs="Times New Roman"/>
          <w:sz w:val="24"/>
          <w:szCs w:val="24"/>
        </w:rPr>
        <w:t xml:space="preserve">she would as a taxpayer </w:t>
      </w:r>
      <w:r w:rsidRPr="005E3083">
        <w:rPr>
          <w:rFonts w:ascii="Times New Roman" w:hAnsi="Times New Roman" w:cs="Times New Roman"/>
          <w:sz w:val="24"/>
          <w:szCs w:val="24"/>
        </w:rPr>
        <w:t xml:space="preserve">if the </w:t>
      </w:r>
      <w:r w:rsidR="00241EA5">
        <w:rPr>
          <w:rFonts w:ascii="Times New Roman" w:hAnsi="Times New Roman" w:cs="Times New Roman"/>
          <w:sz w:val="24"/>
          <w:szCs w:val="24"/>
        </w:rPr>
        <w:t>redistribution was done by the government directly or if the government compensated the corporation for the cost</w:t>
      </w:r>
      <w:r w:rsidR="00F14A2D">
        <w:rPr>
          <w:rFonts w:ascii="Times New Roman" w:hAnsi="Times New Roman" w:cs="Times New Roman"/>
          <w:sz w:val="24"/>
          <w:szCs w:val="24"/>
        </w:rPr>
        <w:t xml:space="preserve"> of deviating from </w:t>
      </w:r>
      <w:r w:rsidR="00241EA5">
        <w:rPr>
          <w:rFonts w:ascii="Times New Roman" w:hAnsi="Times New Roman" w:cs="Times New Roman"/>
          <w:sz w:val="24"/>
          <w:szCs w:val="24"/>
        </w:rPr>
        <w:t>share value maximization</w:t>
      </w:r>
      <w:r w:rsidR="00F14A2D">
        <w:rPr>
          <w:rFonts w:ascii="Times New Roman" w:hAnsi="Times New Roman" w:cs="Times New Roman"/>
          <w:sz w:val="24"/>
          <w:szCs w:val="24"/>
        </w:rPr>
        <w:t xml:space="preserve"> to advance some</w:t>
      </w:r>
      <w:r w:rsidR="00241EA5">
        <w:rPr>
          <w:rFonts w:ascii="Times New Roman" w:hAnsi="Times New Roman" w:cs="Times New Roman"/>
          <w:sz w:val="24"/>
          <w:szCs w:val="24"/>
        </w:rPr>
        <w:t xml:space="preserve"> redistributive </w:t>
      </w:r>
      <w:r w:rsidR="00F14A2D">
        <w:rPr>
          <w:rFonts w:ascii="Times New Roman" w:hAnsi="Times New Roman" w:cs="Times New Roman"/>
          <w:sz w:val="24"/>
          <w:szCs w:val="24"/>
        </w:rPr>
        <w:t>end</w:t>
      </w:r>
      <w:r w:rsidR="00321982">
        <w:rPr>
          <w:rFonts w:ascii="Times New Roman" w:hAnsi="Times New Roman" w:cs="Times New Roman"/>
          <w:sz w:val="24"/>
          <w:szCs w:val="24"/>
        </w:rPr>
        <w:t xml:space="preserve">, because </w:t>
      </w:r>
      <w:r w:rsidR="00F14A2D">
        <w:rPr>
          <w:rFonts w:ascii="Times New Roman" w:hAnsi="Times New Roman" w:cs="Times New Roman"/>
          <w:sz w:val="24"/>
          <w:szCs w:val="24"/>
        </w:rPr>
        <w:t xml:space="preserve">then </w:t>
      </w:r>
      <w:r w:rsidR="00321982">
        <w:rPr>
          <w:rFonts w:ascii="Times New Roman" w:hAnsi="Times New Roman" w:cs="Times New Roman"/>
          <w:sz w:val="24"/>
          <w:szCs w:val="24"/>
        </w:rPr>
        <w:t xml:space="preserve">the cost would be </w:t>
      </w:r>
      <w:r w:rsidRPr="005E3083">
        <w:rPr>
          <w:rFonts w:ascii="Times New Roman" w:hAnsi="Times New Roman" w:cs="Times New Roman"/>
          <w:sz w:val="24"/>
          <w:szCs w:val="24"/>
        </w:rPr>
        <w:t>spread across the whole tax base. Also, spreading it across the nation’s whole tax base rather than across just across the corporation’s shareholders will transfer wealth from rich to poor more systematically</w:t>
      </w:r>
      <w:r w:rsidR="00431717">
        <w:rPr>
          <w:rFonts w:ascii="Times New Roman" w:hAnsi="Times New Roman" w:cs="Times New Roman"/>
          <w:sz w:val="24"/>
          <w:szCs w:val="24"/>
        </w:rPr>
        <w:t>, because while</w:t>
      </w:r>
      <w:r w:rsidRPr="005E3083">
        <w:rPr>
          <w:rFonts w:ascii="Times New Roman" w:hAnsi="Times New Roman" w:cs="Times New Roman"/>
          <w:sz w:val="24"/>
          <w:szCs w:val="24"/>
        </w:rPr>
        <w:t xml:space="preserve"> shareholders are on average richer than the average citizen, a substantial portion of all stock is held directly or indirectly by people of relatively modest means.</w:t>
      </w:r>
      <w:r w:rsidRPr="005E3083">
        <w:rPr>
          <w:rStyle w:val="FootnoteReference"/>
          <w:rFonts w:ascii="Times New Roman" w:hAnsi="Times New Roman" w:cs="Times New Roman"/>
          <w:sz w:val="24"/>
          <w:szCs w:val="24"/>
        </w:rPr>
        <w:footnoteReference w:id="61"/>
      </w:r>
      <w:r w:rsidRPr="005E3083">
        <w:rPr>
          <w:rFonts w:ascii="Times New Roman" w:hAnsi="Times New Roman" w:cs="Times New Roman"/>
          <w:sz w:val="24"/>
          <w:szCs w:val="24"/>
        </w:rPr>
        <w:t xml:space="preserve">  Still, if one approves of whatever redistribution does occur</w:t>
      </w:r>
      <w:r w:rsidR="00321982">
        <w:rPr>
          <w:rFonts w:ascii="Times New Roman" w:hAnsi="Times New Roman" w:cs="Times New Roman"/>
          <w:sz w:val="24"/>
          <w:szCs w:val="24"/>
        </w:rPr>
        <w:t xml:space="preserve"> from the corporate action</w:t>
      </w:r>
      <w:r w:rsidRPr="005E3083">
        <w:rPr>
          <w:rFonts w:ascii="Times New Roman" w:hAnsi="Times New Roman" w:cs="Times New Roman"/>
          <w:sz w:val="24"/>
          <w:szCs w:val="24"/>
        </w:rPr>
        <w:t>, one would view adoption of the subject-broadened franchise and its use for distributive concerns</w:t>
      </w:r>
      <w:r w:rsidR="00321982">
        <w:rPr>
          <w:rFonts w:ascii="Times New Roman" w:hAnsi="Times New Roman" w:cs="Times New Roman"/>
          <w:sz w:val="24"/>
          <w:szCs w:val="24"/>
        </w:rPr>
        <w:t xml:space="preserve"> </w:t>
      </w:r>
      <w:r w:rsidR="00321982" w:rsidRPr="005E3083">
        <w:rPr>
          <w:rFonts w:ascii="Times New Roman" w:hAnsi="Times New Roman" w:cs="Times New Roman"/>
          <w:sz w:val="24"/>
          <w:szCs w:val="24"/>
        </w:rPr>
        <w:t>as moving the world in the right direction</w:t>
      </w:r>
      <w:r w:rsidRPr="005E3083">
        <w:rPr>
          <w:rFonts w:ascii="Times New Roman" w:hAnsi="Times New Roman" w:cs="Times New Roman"/>
          <w:sz w:val="24"/>
          <w:szCs w:val="24"/>
        </w:rPr>
        <w:t xml:space="preserve">, </w:t>
      </w:r>
      <w:r w:rsidR="00321982">
        <w:rPr>
          <w:rFonts w:ascii="Times New Roman" w:hAnsi="Times New Roman" w:cs="Times New Roman"/>
          <w:sz w:val="24"/>
          <w:szCs w:val="24"/>
        </w:rPr>
        <w:t xml:space="preserve">even if it is </w:t>
      </w:r>
      <w:r w:rsidRPr="005E3083">
        <w:rPr>
          <w:rFonts w:ascii="Times New Roman" w:hAnsi="Times New Roman" w:cs="Times New Roman"/>
          <w:sz w:val="24"/>
          <w:szCs w:val="24"/>
        </w:rPr>
        <w:t>an imperfect substitute for government action.</w:t>
      </w:r>
    </w:p>
    <w:p w14:paraId="0F563406" w14:textId="77777777" w:rsidR="009F3E7E" w:rsidRPr="005E3083" w:rsidRDefault="009F3E7E" w:rsidP="00F355E2">
      <w:pPr>
        <w:spacing w:after="0" w:line="480" w:lineRule="auto"/>
        <w:jc w:val="both"/>
        <w:rPr>
          <w:rFonts w:ascii="Times New Roman" w:hAnsi="Times New Roman" w:cs="Times New Roman"/>
          <w:sz w:val="24"/>
          <w:szCs w:val="24"/>
        </w:rPr>
      </w:pPr>
      <w:r w:rsidRPr="005E3083">
        <w:rPr>
          <w:rFonts w:ascii="Times New Roman" w:hAnsi="Times New Roman" w:cs="Times New Roman"/>
          <w:sz w:val="24"/>
          <w:szCs w:val="24"/>
        </w:rPr>
        <w:tab/>
        <w:t xml:space="preserve">One possibility is that distributive and market-imperfection-correcting based uses of a subject-broadened franchise would complement each other. In essence, the distributive concern motivates shareholders to vote to have the corporation deviate from share value maximization in a way that at the same time corrects for a market imperfection. Without this distributive concern, the proponents would not have acted and the inefficiency would have remained. </w:t>
      </w:r>
    </w:p>
    <w:p w14:paraId="791679C2" w14:textId="7ECB51B4" w:rsidR="009F3E7E" w:rsidRPr="005E3083" w:rsidRDefault="009F3E7E" w:rsidP="00F355E2">
      <w:pPr>
        <w:spacing w:after="0" w:line="480" w:lineRule="auto"/>
        <w:jc w:val="both"/>
        <w:rPr>
          <w:rFonts w:ascii="Times New Roman" w:hAnsi="Times New Roman" w:cs="Times New Roman"/>
          <w:sz w:val="24"/>
          <w:szCs w:val="24"/>
        </w:rPr>
      </w:pPr>
      <w:r w:rsidRPr="005E3083">
        <w:rPr>
          <w:rFonts w:ascii="Times New Roman" w:hAnsi="Times New Roman" w:cs="Times New Roman"/>
          <w:sz w:val="24"/>
          <w:szCs w:val="24"/>
        </w:rPr>
        <w:tab/>
        <w:t>Another possibility, however, is that distributive-concern-based use of the subject-broadened franchise</w:t>
      </w:r>
      <w:r w:rsidR="004A528C">
        <w:rPr>
          <w:rFonts w:ascii="Times New Roman" w:hAnsi="Times New Roman" w:cs="Times New Roman"/>
          <w:sz w:val="24"/>
          <w:szCs w:val="24"/>
        </w:rPr>
        <w:t xml:space="preserve">, rather than </w:t>
      </w:r>
      <w:r w:rsidRPr="005E3083">
        <w:rPr>
          <w:rFonts w:ascii="Times New Roman" w:hAnsi="Times New Roman" w:cs="Times New Roman"/>
          <w:sz w:val="24"/>
          <w:szCs w:val="24"/>
        </w:rPr>
        <w:t>increas</w:t>
      </w:r>
      <w:r w:rsidR="004A528C">
        <w:rPr>
          <w:rFonts w:ascii="Times New Roman" w:hAnsi="Times New Roman" w:cs="Times New Roman"/>
          <w:sz w:val="24"/>
          <w:szCs w:val="24"/>
        </w:rPr>
        <w:t>ing</w:t>
      </w:r>
      <w:r w:rsidRPr="005E3083">
        <w:rPr>
          <w:rFonts w:ascii="Times New Roman" w:hAnsi="Times New Roman" w:cs="Times New Roman"/>
          <w:sz w:val="24"/>
          <w:szCs w:val="24"/>
        </w:rPr>
        <w:t xml:space="preserve"> efficiency</w:t>
      </w:r>
      <w:r w:rsidR="004A528C">
        <w:rPr>
          <w:rFonts w:ascii="Times New Roman" w:hAnsi="Times New Roman" w:cs="Times New Roman"/>
          <w:sz w:val="24"/>
          <w:szCs w:val="24"/>
        </w:rPr>
        <w:t>,</w:t>
      </w:r>
      <w:r w:rsidRPr="005E3083">
        <w:rPr>
          <w:rFonts w:ascii="Times New Roman" w:hAnsi="Times New Roman" w:cs="Times New Roman"/>
          <w:sz w:val="24"/>
          <w:szCs w:val="24"/>
        </w:rPr>
        <w:t xml:space="preserve"> might </w:t>
      </w:r>
      <w:r w:rsidR="004A528C">
        <w:rPr>
          <w:rFonts w:ascii="Times New Roman" w:hAnsi="Times New Roman" w:cs="Times New Roman"/>
          <w:sz w:val="24"/>
          <w:szCs w:val="24"/>
        </w:rPr>
        <w:t xml:space="preserve">in fact </w:t>
      </w:r>
      <w:r w:rsidRPr="005E3083">
        <w:rPr>
          <w:rFonts w:ascii="Times New Roman" w:hAnsi="Times New Roman" w:cs="Times New Roman"/>
          <w:sz w:val="24"/>
          <w:szCs w:val="24"/>
        </w:rPr>
        <w:t xml:space="preserve">decrease it. If one puts any value on efficiency and a given distribution-driven use of the subject-broadened franchise decreases it, that efficiency decrease is by definition unfortunate. At a minimum its use raises the </w:t>
      </w:r>
      <w:r w:rsidRPr="005E3083">
        <w:rPr>
          <w:rFonts w:ascii="Times New Roman" w:hAnsi="Times New Roman" w:cs="Times New Roman"/>
          <w:sz w:val="24"/>
          <w:szCs w:val="24"/>
        </w:rPr>
        <w:lastRenderedPageBreak/>
        <w:t xml:space="preserve">question of the tradeoff involved: whether the gains to the poorer members of society are worth the costs to others. </w:t>
      </w:r>
    </w:p>
    <w:p w14:paraId="5F1917BF" w14:textId="625D9FAA" w:rsidR="0061059D" w:rsidRDefault="009F3E7E" w:rsidP="00F355E2">
      <w:pPr>
        <w:spacing w:after="0" w:line="480" w:lineRule="auto"/>
        <w:jc w:val="both"/>
        <w:rPr>
          <w:rFonts w:ascii="Times New Roman" w:hAnsi="Times New Roman" w:cs="Times New Roman"/>
          <w:sz w:val="24"/>
          <w:szCs w:val="24"/>
        </w:rPr>
      </w:pPr>
      <w:r w:rsidRPr="005E3083">
        <w:rPr>
          <w:rFonts w:ascii="Times New Roman" w:hAnsi="Times New Roman" w:cs="Times New Roman"/>
          <w:sz w:val="24"/>
          <w:szCs w:val="24"/>
        </w:rPr>
        <w:tab/>
        <w:t>But there is more to the discussion than this. The distributive-concern-based use of a subject-broadened franchise that leads to a</w:t>
      </w:r>
      <w:r w:rsidR="006A7655">
        <w:rPr>
          <w:rFonts w:ascii="Times New Roman" w:hAnsi="Times New Roman" w:cs="Times New Roman"/>
          <w:sz w:val="24"/>
          <w:szCs w:val="24"/>
        </w:rPr>
        <w:t>n</w:t>
      </w:r>
      <w:r w:rsidRPr="005E3083">
        <w:rPr>
          <w:rFonts w:ascii="Times New Roman" w:hAnsi="Times New Roman" w:cs="Times New Roman"/>
          <w:sz w:val="24"/>
          <w:szCs w:val="24"/>
        </w:rPr>
        <w:t xml:space="preserve"> efficiency-</w:t>
      </w:r>
      <w:r w:rsidR="006A7655">
        <w:rPr>
          <w:rFonts w:ascii="Times New Roman" w:hAnsi="Times New Roman" w:cs="Times New Roman"/>
          <w:sz w:val="24"/>
          <w:szCs w:val="24"/>
        </w:rPr>
        <w:t>diminishing</w:t>
      </w:r>
      <w:r w:rsidRPr="005E3083">
        <w:rPr>
          <w:rFonts w:ascii="Times New Roman" w:hAnsi="Times New Roman" w:cs="Times New Roman"/>
          <w:sz w:val="24"/>
          <w:szCs w:val="24"/>
        </w:rPr>
        <w:t xml:space="preserve"> change in a corporation’s behavior raises a tricky “public-private divide” issue. The question in essence is whether the holders of a majority of a corporation’s shares should be able to force the minority to give up share value in order to improve the wealth position of some third party?  </w:t>
      </w:r>
      <w:bookmarkStart w:id="17" w:name="_Hlk147264367"/>
      <w:r w:rsidRPr="005E3083">
        <w:rPr>
          <w:rFonts w:ascii="Times New Roman" w:hAnsi="Times New Roman" w:cs="Times New Roman"/>
          <w:sz w:val="24"/>
          <w:szCs w:val="24"/>
        </w:rPr>
        <w:t xml:space="preserve">While every individual in entitled to his or her own view of what is a just distribution of wealth, we tend to think of conscious decisions to mandate the taking wealth from one person and giving it to another as something that should be decided within the constitutionally structured public sphere. </w:t>
      </w:r>
      <w:bookmarkEnd w:id="17"/>
    </w:p>
    <w:p w14:paraId="6E49EE6D" w14:textId="479DF9E0" w:rsidR="009F3E7E" w:rsidRPr="005E3083" w:rsidRDefault="0061059D" w:rsidP="00F355E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9F3E7E" w:rsidRPr="005E3083">
        <w:rPr>
          <w:rFonts w:ascii="Times New Roman" w:hAnsi="Times New Roman" w:cs="Times New Roman"/>
          <w:sz w:val="24"/>
          <w:szCs w:val="24"/>
        </w:rPr>
        <w:t xml:space="preserve">Saying this does not conclusively show that distribution-oriented shareholder mandated deviations from share value maximization are inappropriate or that the fact that a subject-broadened franchise can be used in this fashion necessarily means it would be a bad reform. After all, </w:t>
      </w:r>
      <w:r w:rsidR="004D7599">
        <w:rPr>
          <w:rFonts w:ascii="Times New Roman" w:hAnsi="Times New Roman" w:cs="Times New Roman"/>
          <w:sz w:val="24"/>
          <w:szCs w:val="24"/>
        </w:rPr>
        <w:t xml:space="preserve">when it comes to legal reforms aimed at increasing efficiency, most </w:t>
      </w:r>
      <w:r>
        <w:rPr>
          <w:rFonts w:ascii="Times New Roman" w:hAnsi="Times New Roman" w:cs="Times New Roman"/>
          <w:sz w:val="24"/>
          <w:szCs w:val="24"/>
        </w:rPr>
        <w:t xml:space="preserve">persons would approve of </w:t>
      </w:r>
      <w:r w:rsidR="004D7599">
        <w:rPr>
          <w:rFonts w:ascii="Times New Roman" w:hAnsi="Times New Roman" w:cs="Times New Roman"/>
          <w:sz w:val="24"/>
          <w:szCs w:val="24"/>
        </w:rPr>
        <w:t xml:space="preserve">at least in some </w:t>
      </w:r>
      <w:r>
        <w:rPr>
          <w:rFonts w:ascii="Times New Roman" w:hAnsi="Times New Roman" w:cs="Times New Roman"/>
          <w:sz w:val="24"/>
          <w:szCs w:val="24"/>
        </w:rPr>
        <w:t xml:space="preserve">of them </w:t>
      </w:r>
      <w:r w:rsidR="009F3E7E" w:rsidRPr="005E3083">
        <w:rPr>
          <w:rFonts w:ascii="Times New Roman" w:hAnsi="Times New Roman" w:cs="Times New Roman"/>
          <w:sz w:val="24"/>
          <w:szCs w:val="24"/>
        </w:rPr>
        <w:t xml:space="preserve">even though the private behavior that they prompt will result in losers as well as winners. </w:t>
      </w:r>
      <w:r w:rsidR="00A363E8">
        <w:rPr>
          <w:rFonts w:ascii="Times New Roman" w:hAnsi="Times New Roman" w:cs="Times New Roman"/>
          <w:sz w:val="24"/>
          <w:szCs w:val="24"/>
        </w:rPr>
        <w:t xml:space="preserve">The difference, though, is that </w:t>
      </w:r>
      <w:r w:rsidR="006A7655">
        <w:rPr>
          <w:rFonts w:ascii="Times New Roman" w:hAnsi="Times New Roman" w:cs="Times New Roman"/>
          <w:sz w:val="24"/>
          <w:szCs w:val="24"/>
        </w:rPr>
        <w:t xml:space="preserve">if the </w:t>
      </w:r>
      <w:r w:rsidR="00A363E8">
        <w:rPr>
          <w:rFonts w:ascii="Times New Roman" w:hAnsi="Times New Roman" w:cs="Times New Roman"/>
          <w:sz w:val="24"/>
          <w:szCs w:val="24"/>
        </w:rPr>
        <w:t xml:space="preserve">overall legal regime </w:t>
      </w:r>
      <w:r w:rsidR="006A7655">
        <w:rPr>
          <w:rFonts w:ascii="Times New Roman" w:hAnsi="Times New Roman" w:cs="Times New Roman"/>
          <w:sz w:val="24"/>
          <w:szCs w:val="24"/>
        </w:rPr>
        <w:t xml:space="preserve">regulating the wide range of human activities </w:t>
      </w:r>
      <w:r>
        <w:rPr>
          <w:rFonts w:ascii="Times New Roman" w:hAnsi="Times New Roman" w:cs="Times New Roman"/>
          <w:sz w:val="24"/>
          <w:szCs w:val="24"/>
        </w:rPr>
        <w:t xml:space="preserve">tends to </w:t>
      </w:r>
      <w:r w:rsidR="00910193">
        <w:rPr>
          <w:rFonts w:ascii="Times New Roman" w:hAnsi="Times New Roman" w:cs="Times New Roman"/>
          <w:sz w:val="24"/>
          <w:szCs w:val="24"/>
        </w:rPr>
        <w:t>promot</w:t>
      </w:r>
      <w:r>
        <w:rPr>
          <w:rFonts w:ascii="Times New Roman" w:hAnsi="Times New Roman" w:cs="Times New Roman"/>
          <w:sz w:val="24"/>
          <w:szCs w:val="24"/>
        </w:rPr>
        <w:t>e</w:t>
      </w:r>
      <w:r w:rsidR="00910193">
        <w:rPr>
          <w:rFonts w:ascii="Times New Roman" w:hAnsi="Times New Roman" w:cs="Times New Roman"/>
          <w:sz w:val="24"/>
          <w:szCs w:val="24"/>
        </w:rPr>
        <w:t xml:space="preserve"> efficiency</w:t>
      </w:r>
      <w:r w:rsidR="006A7655">
        <w:rPr>
          <w:rFonts w:ascii="Times New Roman" w:hAnsi="Times New Roman" w:cs="Times New Roman"/>
          <w:sz w:val="24"/>
          <w:szCs w:val="24"/>
        </w:rPr>
        <w:t>, it</w:t>
      </w:r>
      <w:r w:rsidR="00910193">
        <w:rPr>
          <w:rFonts w:ascii="Times New Roman" w:hAnsi="Times New Roman" w:cs="Times New Roman"/>
          <w:sz w:val="24"/>
          <w:szCs w:val="24"/>
        </w:rPr>
        <w:t xml:space="preserve"> </w:t>
      </w:r>
      <w:r w:rsidR="00A363E8">
        <w:rPr>
          <w:rFonts w:ascii="Times New Roman" w:hAnsi="Times New Roman" w:cs="Times New Roman"/>
          <w:sz w:val="24"/>
          <w:szCs w:val="24"/>
        </w:rPr>
        <w:t xml:space="preserve">will likely leave everyone better off </w:t>
      </w:r>
      <w:r>
        <w:rPr>
          <w:rFonts w:ascii="Times New Roman" w:hAnsi="Times New Roman" w:cs="Times New Roman"/>
          <w:sz w:val="24"/>
          <w:szCs w:val="24"/>
        </w:rPr>
        <w:t xml:space="preserve">than </w:t>
      </w:r>
      <w:r w:rsidR="006A7655">
        <w:rPr>
          <w:rFonts w:ascii="Times New Roman" w:hAnsi="Times New Roman" w:cs="Times New Roman"/>
          <w:sz w:val="24"/>
          <w:szCs w:val="24"/>
        </w:rPr>
        <w:t>if it does not</w:t>
      </w:r>
      <w:r w:rsidR="00734759">
        <w:rPr>
          <w:rFonts w:ascii="Times New Roman" w:hAnsi="Times New Roman" w:cs="Times New Roman"/>
          <w:sz w:val="24"/>
          <w:szCs w:val="24"/>
        </w:rPr>
        <w:t xml:space="preserve">, </w:t>
      </w:r>
      <w:r w:rsidR="00A363E8">
        <w:rPr>
          <w:rFonts w:ascii="Times New Roman" w:hAnsi="Times New Roman" w:cs="Times New Roman"/>
          <w:sz w:val="24"/>
          <w:szCs w:val="24"/>
        </w:rPr>
        <w:t xml:space="preserve">even </w:t>
      </w:r>
      <w:r w:rsidR="006A7655">
        <w:rPr>
          <w:rFonts w:ascii="Times New Roman" w:hAnsi="Times New Roman" w:cs="Times New Roman"/>
          <w:sz w:val="24"/>
          <w:szCs w:val="24"/>
        </w:rPr>
        <w:t xml:space="preserve">though </w:t>
      </w:r>
      <w:r w:rsidR="00A363E8">
        <w:rPr>
          <w:rFonts w:ascii="Times New Roman" w:hAnsi="Times New Roman" w:cs="Times New Roman"/>
          <w:sz w:val="24"/>
          <w:szCs w:val="24"/>
        </w:rPr>
        <w:t xml:space="preserve">any individual efficiency enhancing measure has losers </w:t>
      </w:r>
      <w:r w:rsidR="00365E75">
        <w:rPr>
          <w:rFonts w:ascii="Times New Roman" w:hAnsi="Times New Roman" w:cs="Times New Roman"/>
          <w:sz w:val="24"/>
          <w:szCs w:val="24"/>
        </w:rPr>
        <w:t xml:space="preserve">as well as </w:t>
      </w:r>
      <w:r w:rsidR="00A363E8">
        <w:rPr>
          <w:rFonts w:ascii="Times New Roman" w:hAnsi="Times New Roman" w:cs="Times New Roman"/>
          <w:sz w:val="24"/>
          <w:szCs w:val="24"/>
        </w:rPr>
        <w:t>winners</w:t>
      </w:r>
      <w:r w:rsidR="00796064">
        <w:rPr>
          <w:rFonts w:ascii="Times New Roman" w:hAnsi="Times New Roman" w:cs="Times New Roman"/>
          <w:sz w:val="24"/>
          <w:szCs w:val="24"/>
        </w:rPr>
        <w:t xml:space="preserve">. </w:t>
      </w:r>
      <w:r>
        <w:rPr>
          <w:rFonts w:ascii="Times New Roman" w:hAnsi="Times New Roman" w:cs="Times New Roman"/>
          <w:sz w:val="24"/>
          <w:szCs w:val="24"/>
        </w:rPr>
        <w:t xml:space="preserve">That, by definition, is not true of </w:t>
      </w:r>
      <w:r w:rsidR="006A7655">
        <w:rPr>
          <w:rFonts w:ascii="Times New Roman" w:hAnsi="Times New Roman" w:cs="Times New Roman"/>
          <w:sz w:val="24"/>
          <w:szCs w:val="24"/>
        </w:rPr>
        <w:t xml:space="preserve">an efficiency-diminishing </w:t>
      </w:r>
      <w:r>
        <w:rPr>
          <w:rFonts w:ascii="Times New Roman" w:hAnsi="Times New Roman" w:cs="Times New Roman"/>
          <w:sz w:val="24"/>
          <w:szCs w:val="24"/>
        </w:rPr>
        <w:t>redistribution and s</w:t>
      </w:r>
      <w:r w:rsidR="00A363E8">
        <w:rPr>
          <w:rFonts w:ascii="Times New Roman" w:hAnsi="Times New Roman" w:cs="Times New Roman"/>
          <w:sz w:val="24"/>
          <w:szCs w:val="24"/>
        </w:rPr>
        <w:t>o</w:t>
      </w:r>
      <w:r w:rsidR="00910193">
        <w:rPr>
          <w:rFonts w:ascii="Times New Roman" w:hAnsi="Times New Roman" w:cs="Times New Roman"/>
          <w:sz w:val="24"/>
          <w:szCs w:val="24"/>
        </w:rPr>
        <w:t xml:space="preserve"> use</w:t>
      </w:r>
      <w:r w:rsidR="009F3E7E" w:rsidRPr="005E3083">
        <w:rPr>
          <w:rFonts w:ascii="Times New Roman" w:hAnsi="Times New Roman" w:cs="Times New Roman"/>
          <w:sz w:val="24"/>
          <w:szCs w:val="24"/>
        </w:rPr>
        <w:t xml:space="preserve"> of the broadened franchise for </w:t>
      </w:r>
      <w:r w:rsidR="00910193">
        <w:rPr>
          <w:rFonts w:ascii="Times New Roman" w:hAnsi="Times New Roman" w:cs="Times New Roman"/>
          <w:sz w:val="24"/>
          <w:szCs w:val="24"/>
        </w:rPr>
        <w:t xml:space="preserve">redistribution </w:t>
      </w:r>
      <w:r>
        <w:rPr>
          <w:rFonts w:ascii="Times New Roman" w:hAnsi="Times New Roman" w:cs="Times New Roman"/>
          <w:sz w:val="24"/>
          <w:szCs w:val="24"/>
        </w:rPr>
        <w:t xml:space="preserve">would raise </w:t>
      </w:r>
      <w:r w:rsidR="00910193">
        <w:rPr>
          <w:rFonts w:ascii="Times New Roman" w:hAnsi="Times New Roman" w:cs="Times New Roman"/>
          <w:sz w:val="24"/>
          <w:szCs w:val="24"/>
        </w:rPr>
        <w:t xml:space="preserve">more complicated issues than its use for </w:t>
      </w:r>
      <w:r w:rsidR="009F3E7E" w:rsidRPr="005E3083">
        <w:rPr>
          <w:rFonts w:ascii="Times New Roman" w:hAnsi="Times New Roman" w:cs="Times New Roman"/>
          <w:sz w:val="24"/>
          <w:szCs w:val="24"/>
        </w:rPr>
        <w:t xml:space="preserve">market imperfection corrections. </w:t>
      </w:r>
    </w:p>
    <w:p w14:paraId="254CBB9E" w14:textId="1B218EB1" w:rsidR="009F3E7E" w:rsidRDefault="009F3E7E" w:rsidP="00F355E2">
      <w:pPr>
        <w:spacing w:after="0" w:line="480" w:lineRule="auto"/>
        <w:jc w:val="both"/>
        <w:rPr>
          <w:rFonts w:ascii="Times New Roman" w:hAnsi="Times New Roman" w:cs="Times New Roman"/>
          <w:sz w:val="24"/>
          <w:szCs w:val="24"/>
        </w:rPr>
      </w:pPr>
      <w:r w:rsidRPr="005E3083">
        <w:rPr>
          <w:rFonts w:ascii="Times New Roman" w:hAnsi="Times New Roman" w:cs="Times New Roman"/>
          <w:sz w:val="24"/>
          <w:szCs w:val="24"/>
        </w:rPr>
        <w:tab/>
      </w:r>
      <w:r w:rsidR="00734759">
        <w:rPr>
          <w:rFonts w:ascii="Times New Roman" w:hAnsi="Times New Roman" w:cs="Times New Roman"/>
          <w:sz w:val="24"/>
          <w:szCs w:val="24"/>
        </w:rPr>
        <w:t>E</w:t>
      </w:r>
      <w:r w:rsidRPr="005E3083">
        <w:rPr>
          <w:rFonts w:ascii="Times New Roman" w:hAnsi="Times New Roman" w:cs="Times New Roman"/>
          <w:sz w:val="24"/>
          <w:szCs w:val="24"/>
        </w:rPr>
        <w:t>fficiency</w:t>
      </w:r>
      <w:r w:rsidR="006A7655">
        <w:rPr>
          <w:rFonts w:ascii="Times New Roman" w:hAnsi="Times New Roman" w:cs="Times New Roman"/>
          <w:sz w:val="24"/>
          <w:szCs w:val="24"/>
        </w:rPr>
        <w:t>-</w:t>
      </w:r>
      <w:r w:rsidRPr="005E3083">
        <w:rPr>
          <w:rFonts w:ascii="Times New Roman" w:hAnsi="Times New Roman" w:cs="Times New Roman"/>
          <w:sz w:val="24"/>
          <w:szCs w:val="24"/>
        </w:rPr>
        <w:t>d</w:t>
      </w:r>
      <w:r w:rsidR="006A7655">
        <w:rPr>
          <w:rFonts w:ascii="Times New Roman" w:hAnsi="Times New Roman" w:cs="Times New Roman"/>
          <w:sz w:val="24"/>
          <w:szCs w:val="24"/>
        </w:rPr>
        <w:t xml:space="preserve">iminishing </w:t>
      </w:r>
      <w:r w:rsidR="00734759">
        <w:rPr>
          <w:rFonts w:ascii="Times New Roman" w:hAnsi="Times New Roman" w:cs="Times New Roman"/>
          <w:sz w:val="24"/>
          <w:szCs w:val="24"/>
        </w:rPr>
        <w:t xml:space="preserve">or </w:t>
      </w:r>
      <w:r w:rsidRPr="005E3083">
        <w:rPr>
          <w:rFonts w:ascii="Times New Roman" w:hAnsi="Times New Roman" w:cs="Times New Roman"/>
          <w:sz w:val="24"/>
          <w:szCs w:val="24"/>
        </w:rPr>
        <w:t xml:space="preserve">distribution-oriented deviations from share value maximization </w:t>
      </w:r>
      <w:r w:rsidR="00734759">
        <w:rPr>
          <w:rFonts w:ascii="Times New Roman" w:hAnsi="Times New Roman" w:cs="Times New Roman"/>
          <w:sz w:val="24"/>
          <w:szCs w:val="24"/>
        </w:rPr>
        <w:t xml:space="preserve">initiated by shareholder majorities </w:t>
      </w:r>
      <w:r w:rsidRPr="005E3083">
        <w:rPr>
          <w:rFonts w:ascii="Times New Roman" w:hAnsi="Times New Roman" w:cs="Times New Roman"/>
          <w:sz w:val="24"/>
          <w:szCs w:val="24"/>
        </w:rPr>
        <w:t xml:space="preserve">are subject to one more telling criticism that is related to this </w:t>
      </w:r>
      <w:r w:rsidRPr="005E3083">
        <w:rPr>
          <w:rFonts w:ascii="Times New Roman" w:hAnsi="Times New Roman" w:cs="Times New Roman"/>
          <w:sz w:val="24"/>
          <w:szCs w:val="24"/>
        </w:rPr>
        <w:lastRenderedPageBreak/>
        <w:t>public/private divide issue</w:t>
      </w:r>
      <w:r w:rsidR="00796064">
        <w:rPr>
          <w:rFonts w:ascii="Times New Roman" w:hAnsi="Times New Roman" w:cs="Times New Roman"/>
          <w:sz w:val="24"/>
          <w:szCs w:val="24"/>
        </w:rPr>
        <w:t xml:space="preserve">. </w:t>
      </w:r>
      <w:r w:rsidRPr="005E3083">
        <w:rPr>
          <w:rFonts w:ascii="Times New Roman" w:hAnsi="Times New Roman" w:cs="Times New Roman"/>
          <w:sz w:val="24"/>
          <w:szCs w:val="24"/>
        </w:rPr>
        <w:t>There is an</w:t>
      </w:r>
      <w:r w:rsidR="00B9703A">
        <w:rPr>
          <w:rFonts w:ascii="Times New Roman" w:hAnsi="Times New Roman" w:cs="Times New Roman"/>
          <w:sz w:val="24"/>
          <w:szCs w:val="24"/>
        </w:rPr>
        <w:t xml:space="preserve"> alternative </w:t>
      </w:r>
      <w:r w:rsidRPr="005E3083">
        <w:rPr>
          <w:rFonts w:ascii="Times New Roman" w:hAnsi="Times New Roman" w:cs="Times New Roman"/>
          <w:sz w:val="24"/>
          <w:szCs w:val="24"/>
        </w:rPr>
        <w:t>way that shareholders who have redistributive concern</w:t>
      </w:r>
      <w:r w:rsidR="00FA7543">
        <w:rPr>
          <w:rFonts w:ascii="Times New Roman" w:hAnsi="Times New Roman" w:cs="Times New Roman"/>
          <w:sz w:val="24"/>
          <w:szCs w:val="24"/>
        </w:rPr>
        <w:t>s</w:t>
      </w:r>
      <w:r w:rsidRPr="005E3083">
        <w:rPr>
          <w:rFonts w:ascii="Times New Roman" w:hAnsi="Times New Roman" w:cs="Times New Roman"/>
          <w:sz w:val="24"/>
          <w:szCs w:val="24"/>
        </w:rPr>
        <w:t xml:space="preserve"> can move wealth in the direction they </w:t>
      </w:r>
      <w:r w:rsidR="00431717">
        <w:rPr>
          <w:rFonts w:ascii="Times New Roman" w:hAnsi="Times New Roman" w:cs="Times New Roman"/>
          <w:sz w:val="24"/>
          <w:szCs w:val="24"/>
        </w:rPr>
        <w:t>want without the</w:t>
      </w:r>
      <w:r w:rsidRPr="005E3083">
        <w:rPr>
          <w:rFonts w:ascii="Times New Roman" w:hAnsi="Times New Roman" w:cs="Times New Roman"/>
          <w:sz w:val="24"/>
          <w:szCs w:val="24"/>
        </w:rPr>
        <w:t xml:space="preserve"> corporation </w:t>
      </w:r>
      <w:r w:rsidR="00431717">
        <w:rPr>
          <w:rFonts w:ascii="Times New Roman" w:hAnsi="Times New Roman" w:cs="Times New Roman"/>
          <w:sz w:val="24"/>
          <w:szCs w:val="24"/>
        </w:rPr>
        <w:t>deviating</w:t>
      </w:r>
      <w:r w:rsidRPr="005E3083">
        <w:rPr>
          <w:rFonts w:ascii="Times New Roman" w:hAnsi="Times New Roman" w:cs="Times New Roman"/>
          <w:sz w:val="24"/>
          <w:szCs w:val="24"/>
        </w:rPr>
        <w:t xml:space="preserve"> from share value maximization</w:t>
      </w:r>
      <w:r w:rsidR="004A528C">
        <w:rPr>
          <w:rFonts w:ascii="Times New Roman" w:hAnsi="Times New Roman" w:cs="Times New Roman"/>
          <w:sz w:val="24"/>
          <w:szCs w:val="24"/>
        </w:rPr>
        <w:t>. T</w:t>
      </w:r>
      <w:r w:rsidRPr="005E3083">
        <w:rPr>
          <w:rFonts w:ascii="Times New Roman" w:hAnsi="Times New Roman" w:cs="Times New Roman"/>
          <w:sz w:val="24"/>
          <w:szCs w:val="24"/>
        </w:rPr>
        <w:t xml:space="preserve">he distribution-oriented shareholders, in an act of charity, </w:t>
      </w:r>
      <w:r w:rsidR="004A528C">
        <w:rPr>
          <w:rFonts w:ascii="Times New Roman" w:hAnsi="Times New Roman" w:cs="Times New Roman"/>
          <w:sz w:val="24"/>
          <w:szCs w:val="24"/>
        </w:rPr>
        <w:t xml:space="preserve">can then </w:t>
      </w:r>
      <w:r w:rsidRPr="005E3083">
        <w:rPr>
          <w:rFonts w:ascii="Times New Roman" w:hAnsi="Times New Roman" w:cs="Times New Roman"/>
          <w:sz w:val="24"/>
          <w:szCs w:val="24"/>
        </w:rPr>
        <w:t>send the person</w:t>
      </w:r>
      <w:r w:rsidR="004A528C">
        <w:rPr>
          <w:rFonts w:ascii="Times New Roman" w:hAnsi="Times New Roman" w:cs="Times New Roman"/>
          <w:sz w:val="24"/>
          <w:szCs w:val="24"/>
        </w:rPr>
        <w:t>s</w:t>
      </w:r>
      <w:r w:rsidRPr="005E3083">
        <w:rPr>
          <w:rFonts w:ascii="Times New Roman" w:hAnsi="Times New Roman" w:cs="Times New Roman"/>
          <w:sz w:val="24"/>
          <w:szCs w:val="24"/>
        </w:rPr>
        <w:t xml:space="preserve"> who would be the </w:t>
      </w:r>
      <w:r w:rsidR="004A528C">
        <w:rPr>
          <w:rFonts w:ascii="Times New Roman" w:hAnsi="Times New Roman" w:cs="Times New Roman"/>
          <w:sz w:val="24"/>
          <w:szCs w:val="24"/>
        </w:rPr>
        <w:t xml:space="preserve">beneficiaries </w:t>
      </w:r>
      <w:r w:rsidRPr="005E3083">
        <w:rPr>
          <w:rFonts w:ascii="Times New Roman" w:hAnsi="Times New Roman" w:cs="Times New Roman"/>
          <w:sz w:val="24"/>
          <w:szCs w:val="24"/>
        </w:rPr>
        <w:t>of the redistributi</w:t>
      </w:r>
      <w:r w:rsidR="00B9703A">
        <w:rPr>
          <w:rFonts w:ascii="Times New Roman" w:hAnsi="Times New Roman" w:cs="Times New Roman"/>
          <w:sz w:val="24"/>
          <w:szCs w:val="24"/>
        </w:rPr>
        <w:t xml:space="preserve">ve deviation </w:t>
      </w:r>
      <w:r w:rsidRPr="005E3083">
        <w:rPr>
          <w:rFonts w:ascii="Times New Roman" w:hAnsi="Times New Roman" w:cs="Times New Roman"/>
          <w:sz w:val="24"/>
          <w:szCs w:val="24"/>
        </w:rPr>
        <w:t>an amount equal to their pro-rata share of what they would have given up had the corporation engaged in the deviation plus their pro-rata share of the extra wealth created by the corporation because i</w:t>
      </w:r>
      <w:r w:rsidR="00F270CC">
        <w:rPr>
          <w:rFonts w:ascii="Times New Roman" w:hAnsi="Times New Roman" w:cs="Times New Roman"/>
          <w:sz w:val="24"/>
          <w:szCs w:val="24"/>
        </w:rPr>
        <w:t>t</w:t>
      </w:r>
      <w:r w:rsidRPr="005E3083">
        <w:rPr>
          <w:rFonts w:ascii="Times New Roman" w:hAnsi="Times New Roman" w:cs="Times New Roman"/>
          <w:sz w:val="24"/>
          <w:szCs w:val="24"/>
        </w:rPr>
        <w:t xml:space="preserve"> did not deviate</w:t>
      </w:r>
      <w:r w:rsidR="00796064">
        <w:rPr>
          <w:rFonts w:ascii="Times New Roman" w:hAnsi="Times New Roman" w:cs="Times New Roman"/>
          <w:sz w:val="24"/>
          <w:szCs w:val="24"/>
        </w:rPr>
        <w:t xml:space="preserve">. </w:t>
      </w:r>
      <w:r w:rsidR="00B9703A">
        <w:rPr>
          <w:rFonts w:ascii="Times New Roman" w:hAnsi="Times New Roman" w:cs="Times New Roman"/>
          <w:sz w:val="24"/>
          <w:szCs w:val="24"/>
        </w:rPr>
        <w:t>Whether or not t</w:t>
      </w:r>
      <w:r w:rsidRPr="005E3083">
        <w:rPr>
          <w:rFonts w:ascii="Times New Roman" w:hAnsi="Times New Roman" w:cs="Times New Roman"/>
          <w:sz w:val="24"/>
          <w:szCs w:val="24"/>
        </w:rPr>
        <w:t xml:space="preserve">his </w:t>
      </w:r>
      <w:r w:rsidR="00B9703A">
        <w:rPr>
          <w:rFonts w:ascii="Times New Roman" w:hAnsi="Times New Roman" w:cs="Times New Roman"/>
          <w:sz w:val="24"/>
          <w:szCs w:val="24"/>
        </w:rPr>
        <w:t xml:space="preserve">alternative would </w:t>
      </w:r>
      <w:r w:rsidRPr="005E3083">
        <w:rPr>
          <w:rFonts w:ascii="Times New Roman" w:hAnsi="Times New Roman" w:cs="Times New Roman"/>
          <w:sz w:val="24"/>
          <w:szCs w:val="24"/>
        </w:rPr>
        <w:t xml:space="preserve">transfer as much wealth to the </w:t>
      </w:r>
      <w:r w:rsidR="00B9703A">
        <w:rPr>
          <w:rFonts w:ascii="Times New Roman" w:hAnsi="Times New Roman" w:cs="Times New Roman"/>
          <w:sz w:val="24"/>
          <w:szCs w:val="24"/>
        </w:rPr>
        <w:t xml:space="preserve">beneficiaries </w:t>
      </w:r>
      <w:r w:rsidRPr="005E3083">
        <w:rPr>
          <w:rFonts w:ascii="Times New Roman" w:hAnsi="Times New Roman" w:cs="Times New Roman"/>
          <w:sz w:val="24"/>
          <w:szCs w:val="24"/>
        </w:rPr>
        <w:t>as if the corporation had engaged in the deviation</w:t>
      </w:r>
      <w:r w:rsidR="00B9703A">
        <w:rPr>
          <w:rFonts w:ascii="Times New Roman" w:hAnsi="Times New Roman" w:cs="Times New Roman"/>
          <w:sz w:val="24"/>
          <w:szCs w:val="24"/>
        </w:rPr>
        <w:t xml:space="preserve"> depends on the facts of the particular case</w:t>
      </w:r>
      <w:r w:rsidR="00365E75">
        <w:rPr>
          <w:rFonts w:ascii="Times New Roman" w:hAnsi="Times New Roman" w:cs="Times New Roman"/>
          <w:sz w:val="24"/>
          <w:szCs w:val="24"/>
        </w:rPr>
        <w:t>.</w:t>
      </w:r>
      <w:r w:rsidRPr="005E3083">
        <w:rPr>
          <w:rFonts w:ascii="Times New Roman" w:hAnsi="Times New Roman" w:cs="Times New Roman"/>
          <w:sz w:val="24"/>
          <w:szCs w:val="24"/>
        </w:rPr>
        <w:t xml:space="preserve"> </w:t>
      </w:r>
      <w:r w:rsidR="00F270CC">
        <w:rPr>
          <w:rFonts w:ascii="Times New Roman" w:hAnsi="Times New Roman" w:cs="Times New Roman"/>
          <w:sz w:val="24"/>
          <w:szCs w:val="24"/>
        </w:rPr>
        <w:t xml:space="preserve">Even if </w:t>
      </w:r>
      <w:r w:rsidR="00734759">
        <w:rPr>
          <w:rFonts w:ascii="Times New Roman" w:hAnsi="Times New Roman" w:cs="Times New Roman"/>
          <w:sz w:val="24"/>
          <w:szCs w:val="24"/>
        </w:rPr>
        <w:t xml:space="preserve">it </w:t>
      </w:r>
      <w:r w:rsidR="00B9703A">
        <w:rPr>
          <w:rFonts w:ascii="Times New Roman" w:hAnsi="Times New Roman" w:cs="Times New Roman"/>
          <w:sz w:val="24"/>
          <w:szCs w:val="24"/>
        </w:rPr>
        <w:t>d</w:t>
      </w:r>
      <w:r w:rsidR="00F270CC">
        <w:rPr>
          <w:rFonts w:ascii="Times New Roman" w:hAnsi="Times New Roman" w:cs="Times New Roman"/>
          <w:sz w:val="24"/>
          <w:szCs w:val="24"/>
        </w:rPr>
        <w:t>oes</w:t>
      </w:r>
      <w:r w:rsidR="00B9703A">
        <w:rPr>
          <w:rFonts w:ascii="Times New Roman" w:hAnsi="Times New Roman" w:cs="Times New Roman"/>
          <w:sz w:val="24"/>
          <w:szCs w:val="24"/>
        </w:rPr>
        <w:t xml:space="preserve"> not transfer as much, </w:t>
      </w:r>
      <w:r w:rsidR="00F270CC">
        <w:rPr>
          <w:rFonts w:ascii="Times New Roman" w:hAnsi="Times New Roman" w:cs="Times New Roman"/>
          <w:sz w:val="24"/>
          <w:szCs w:val="24"/>
        </w:rPr>
        <w:t xml:space="preserve">though, this alternative has the virtue that the </w:t>
      </w:r>
      <w:r w:rsidRPr="005E3083">
        <w:rPr>
          <w:rFonts w:ascii="Times New Roman" w:hAnsi="Times New Roman" w:cs="Times New Roman"/>
          <w:sz w:val="24"/>
          <w:szCs w:val="24"/>
        </w:rPr>
        <w:t>majority d</w:t>
      </w:r>
      <w:r w:rsidR="00F270CC">
        <w:rPr>
          <w:rFonts w:ascii="Times New Roman" w:hAnsi="Times New Roman" w:cs="Times New Roman"/>
          <w:sz w:val="24"/>
          <w:szCs w:val="24"/>
        </w:rPr>
        <w:t xml:space="preserve">oes </w:t>
      </w:r>
      <w:r w:rsidRPr="005E3083">
        <w:rPr>
          <w:rFonts w:ascii="Times New Roman" w:hAnsi="Times New Roman" w:cs="Times New Roman"/>
          <w:sz w:val="24"/>
          <w:szCs w:val="24"/>
        </w:rPr>
        <w:t xml:space="preserve">not force the minority to </w:t>
      </w:r>
      <w:r w:rsidR="007D2E80">
        <w:rPr>
          <w:rFonts w:ascii="Times New Roman" w:hAnsi="Times New Roman" w:cs="Times New Roman"/>
          <w:sz w:val="24"/>
          <w:szCs w:val="24"/>
        </w:rPr>
        <w:t xml:space="preserve">contribute to </w:t>
      </w:r>
      <w:r w:rsidRPr="005E3083">
        <w:rPr>
          <w:rFonts w:ascii="Times New Roman" w:hAnsi="Times New Roman" w:cs="Times New Roman"/>
          <w:sz w:val="24"/>
          <w:szCs w:val="24"/>
        </w:rPr>
        <w:t>a cause that the majority felt worthwhile and the minority did not.</w:t>
      </w:r>
      <w:r w:rsidR="00891281">
        <w:rPr>
          <w:rStyle w:val="FootnoteReference"/>
          <w:rFonts w:ascii="Times New Roman" w:hAnsi="Times New Roman" w:cs="Times New Roman"/>
          <w:sz w:val="24"/>
          <w:szCs w:val="24"/>
        </w:rPr>
        <w:footnoteReference w:id="62"/>
      </w:r>
      <w:r w:rsidRPr="005E3083">
        <w:rPr>
          <w:rFonts w:ascii="Times New Roman" w:hAnsi="Times New Roman" w:cs="Times New Roman"/>
          <w:sz w:val="24"/>
          <w:szCs w:val="24"/>
        </w:rPr>
        <w:t xml:space="preserve">  </w:t>
      </w:r>
    </w:p>
    <w:p w14:paraId="3437450F" w14:textId="2CCAA8C8" w:rsidR="00F270CC" w:rsidRDefault="009F3E7E" w:rsidP="00F355E2">
      <w:pPr>
        <w:spacing w:after="0" w:line="480" w:lineRule="auto"/>
        <w:jc w:val="both"/>
        <w:rPr>
          <w:rFonts w:ascii="Times New Roman" w:hAnsi="Times New Roman" w:cs="Times New Roman"/>
          <w:sz w:val="24"/>
          <w:szCs w:val="24"/>
        </w:rPr>
      </w:pPr>
      <w:r w:rsidRPr="005E3083">
        <w:rPr>
          <w:rFonts w:ascii="Times New Roman" w:hAnsi="Times New Roman" w:cs="Times New Roman"/>
          <w:sz w:val="24"/>
          <w:szCs w:val="24"/>
        </w:rPr>
        <w:tab/>
      </w:r>
      <w:r w:rsidRPr="005E3083">
        <w:rPr>
          <w:rFonts w:ascii="Times New Roman" w:hAnsi="Times New Roman" w:cs="Times New Roman"/>
          <w:i/>
          <w:sz w:val="24"/>
          <w:szCs w:val="24"/>
        </w:rPr>
        <w:t xml:space="preserve">5. Differences among shareholders in the direct effects of a corporation’s actions. </w:t>
      </w:r>
      <w:r w:rsidRPr="005E3083">
        <w:rPr>
          <w:rFonts w:ascii="Times New Roman" w:hAnsi="Times New Roman" w:cs="Times New Roman"/>
          <w:sz w:val="24"/>
          <w:szCs w:val="24"/>
        </w:rPr>
        <w:t xml:space="preserve">For the large, dispersed ownership corporation, </w:t>
      </w:r>
      <w:r w:rsidR="00F270CC">
        <w:rPr>
          <w:rFonts w:ascii="Times New Roman" w:hAnsi="Times New Roman" w:cs="Times New Roman"/>
          <w:sz w:val="24"/>
          <w:szCs w:val="24"/>
        </w:rPr>
        <w:t xml:space="preserve">there can also be </w:t>
      </w:r>
      <w:r w:rsidRPr="005E3083">
        <w:rPr>
          <w:rFonts w:ascii="Times New Roman" w:hAnsi="Times New Roman" w:cs="Times New Roman"/>
          <w:sz w:val="24"/>
          <w:szCs w:val="24"/>
        </w:rPr>
        <w:t xml:space="preserve">differences among its shareholders </w:t>
      </w:r>
      <w:r w:rsidR="00F270CC">
        <w:rPr>
          <w:rFonts w:ascii="Times New Roman" w:hAnsi="Times New Roman" w:cs="Times New Roman"/>
          <w:sz w:val="24"/>
          <w:szCs w:val="24"/>
        </w:rPr>
        <w:t xml:space="preserve">in how they wish it to behave due to </w:t>
      </w:r>
      <w:r w:rsidRPr="005E3083">
        <w:rPr>
          <w:rFonts w:ascii="Times New Roman" w:hAnsi="Times New Roman" w:cs="Times New Roman"/>
          <w:sz w:val="24"/>
          <w:szCs w:val="24"/>
        </w:rPr>
        <w:t xml:space="preserve">some </w:t>
      </w:r>
      <w:r w:rsidR="00F270CC">
        <w:rPr>
          <w:rFonts w:ascii="Times New Roman" w:hAnsi="Times New Roman" w:cs="Times New Roman"/>
          <w:sz w:val="24"/>
          <w:szCs w:val="24"/>
        </w:rPr>
        <w:t>being</w:t>
      </w:r>
      <w:r w:rsidRPr="005E3083">
        <w:rPr>
          <w:rFonts w:ascii="Times New Roman" w:hAnsi="Times New Roman" w:cs="Times New Roman"/>
          <w:sz w:val="24"/>
          <w:szCs w:val="24"/>
        </w:rPr>
        <w:t>, or own</w:t>
      </w:r>
      <w:r w:rsidR="00F270CC">
        <w:rPr>
          <w:rFonts w:ascii="Times New Roman" w:hAnsi="Times New Roman" w:cs="Times New Roman"/>
          <w:sz w:val="24"/>
          <w:szCs w:val="24"/>
        </w:rPr>
        <w:t>ing</w:t>
      </w:r>
      <w:r w:rsidRPr="005E3083">
        <w:rPr>
          <w:rFonts w:ascii="Times New Roman" w:hAnsi="Times New Roman" w:cs="Times New Roman"/>
          <w:sz w:val="24"/>
          <w:szCs w:val="24"/>
        </w:rPr>
        <w:t xml:space="preserve"> stock in, suppliers or customers of the corporation</w:t>
      </w:r>
      <w:r w:rsidR="00F270CC">
        <w:rPr>
          <w:rFonts w:ascii="Times New Roman" w:hAnsi="Times New Roman" w:cs="Times New Roman"/>
          <w:sz w:val="24"/>
          <w:szCs w:val="24"/>
        </w:rPr>
        <w:t>.  These differences</w:t>
      </w:r>
      <w:r w:rsidRPr="005E3083">
        <w:rPr>
          <w:rFonts w:ascii="Times New Roman" w:hAnsi="Times New Roman" w:cs="Times New Roman"/>
          <w:sz w:val="24"/>
          <w:szCs w:val="24"/>
        </w:rPr>
        <w:t xml:space="preserve"> would generally be of second order importance</w:t>
      </w:r>
      <w:r w:rsidR="00F270CC">
        <w:rPr>
          <w:rFonts w:ascii="Times New Roman" w:hAnsi="Times New Roman" w:cs="Times New Roman"/>
          <w:sz w:val="24"/>
          <w:szCs w:val="24"/>
        </w:rPr>
        <w:t>, however</w:t>
      </w:r>
      <w:r w:rsidRPr="005E3083">
        <w:rPr>
          <w:rFonts w:ascii="Times New Roman" w:hAnsi="Times New Roman" w:cs="Times New Roman"/>
          <w:sz w:val="24"/>
          <w:szCs w:val="24"/>
        </w:rPr>
        <w:t>. As such, they are extremely unlikely to influence who is elected a director and what policies the</w:t>
      </w:r>
      <w:r w:rsidR="00B9703A">
        <w:rPr>
          <w:rFonts w:ascii="Times New Roman" w:hAnsi="Times New Roman" w:cs="Times New Roman"/>
          <w:sz w:val="24"/>
          <w:szCs w:val="24"/>
        </w:rPr>
        <w:t xml:space="preserve"> directors</w:t>
      </w:r>
      <w:r w:rsidRPr="005E3083">
        <w:rPr>
          <w:rFonts w:ascii="Times New Roman" w:hAnsi="Times New Roman" w:cs="Times New Roman"/>
          <w:sz w:val="24"/>
          <w:szCs w:val="24"/>
        </w:rPr>
        <w:t xml:space="preserve"> pursue. Nor, if the franchise were reformed to allow votes on specific business issues</w:t>
      </w:r>
      <w:r w:rsidR="00F270CC">
        <w:rPr>
          <w:rFonts w:ascii="Times New Roman" w:hAnsi="Times New Roman" w:cs="Times New Roman"/>
          <w:sz w:val="24"/>
          <w:szCs w:val="24"/>
        </w:rPr>
        <w:t>,</w:t>
      </w:r>
      <w:r w:rsidRPr="005E3083">
        <w:rPr>
          <w:rFonts w:ascii="Times New Roman" w:hAnsi="Times New Roman" w:cs="Times New Roman"/>
          <w:sz w:val="24"/>
          <w:szCs w:val="24"/>
        </w:rPr>
        <w:t xml:space="preserve"> would any majorities likely form around providing non-share-value-maximizing pricing for particular kinds of transactions with the issuer. </w:t>
      </w:r>
    </w:p>
    <w:p w14:paraId="765A6CA0" w14:textId="71710050" w:rsidR="008D0884" w:rsidRPr="005E3083" w:rsidRDefault="00F270CC" w:rsidP="00F355E2">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One exception </w:t>
      </w:r>
      <w:r w:rsidR="008D0884">
        <w:rPr>
          <w:rFonts w:ascii="Times New Roman" w:hAnsi="Times New Roman" w:cs="Times New Roman"/>
          <w:sz w:val="24"/>
          <w:szCs w:val="24"/>
        </w:rPr>
        <w:t xml:space="preserve">to this second order observation </w:t>
      </w:r>
      <w:r>
        <w:rPr>
          <w:rFonts w:ascii="Times New Roman" w:hAnsi="Times New Roman" w:cs="Times New Roman"/>
          <w:sz w:val="24"/>
          <w:szCs w:val="24"/>
        </w:rPr>
        <w:t xml:space="preserve">is where </w:t>
      </w:r>
      <w:r w:rsidR="009F3E7E" w:rsidRPr="005E3083">
        <w:rPr>
          <w:rFonts w:ascii="Times New Roman" w:hAnsi="Times New Roman" w:cs="Times New Roman"/>
          <w:sz w:val="24"/>
          <w:szCs w:val="24"/>
        </w:rPr>
        <w:t>a corporation’s workers own</w:t>
      </w:r>
      <w:r w:rsidR="00B9703A">
        <w:rPr>
          <w:rFonts w:ascii="Times New Roman" w:hAnsi="Times New Roman" w:cs="Times New Roman"/>
          <w:sz w:val="24"/>
          <w:szCs w:val="24"/>
        </w:rPr>
        <w:t xml:space="preserve"> </w:t>
      </w:r>
      <w:r w:rsidR="009F3E7E" w:rsidRPr="005E3083">
        <w:rPr>
          <w:rFonts w:ascii="Times New Roman" w:hAnsi="Times New Roman" w:cs="Times New Roman"/>
          <w:sz w:val="24"/>
          <w:szCs w:val="24"/>
        </w:rPr>
        <w:t>a significant portion of its shares through, for example, an employee share ownership program of a pension scheme. This resembles a situation where a corporation has two classes of residual claimants each of which has control rights. As Henry Hansmann has observed, such arrangements have very high governance costs and tend not to endure for long, with one of the two classes retaining the residual claims and control rights (usually, but not always, the capital suppliers) and the other having just a contractual relationship with the corporation.</w:t>
      </w:r>
      <w:r w:rsidR="009F3E7E" w:rsidRPr="005E3083">
        <w:rPr>
          <w:rStyle w:val="FootnoteReference"/>
          <w:rFonts w:ascii="Times New Roman" w:hAnsi="Times New Roman" w:cs="Times New Roman"/>
          <w:sz w:val="24"/>
          <w:szCs w:val="24"/>
        </w:rPr>
        <w:footnoteReference w:id="63"/>
      </w:r>
      <w:r w:rsidR="009F3E7E" w:rsidRPr="005E3083">
        <w:rPr>
          <w:rFonts w:ascii="Times New Roman" w:hAnsi="Times New Roman" w:cs="Times New Roman"/>
          <w:sz w:val="24"/>
          <w:szCs w:val="24"/>
        </w:rPr>
        <w:t xml:space="preserve">  </w:t>
      </w:r>
      <w:r w:rsidR="008D0884">
        <w:rPr>
          <w:rFonts w:ascii="Times New Roman" w:hAnsi="Times New Roman" w:cs="Times New Roman"/>
          <w:sz w:val="24"/>
          <w:szCs w:val="24"/>
        </w:rPr>
        <w:t>A possible solution is to make the corporation a worker’s cooperative where capital is provided entirely through debt, and workers, who would not be the sole residual claimants, have sole control rights.  Another solution would be to sanitize the workers’ shares of the right to vote, meaning that they would need to rely on the self interest of the other shareholders to act in ways that would maximize the value of the workers’ shares.</w:t>
      </w:r>
    </w:p>
    <w:p w14:paraId="55237151" w14:textId="1725EDFB" w:rsidR="009F3E7E" w:rsidRPr="005E3083" w:rsidRDefault="009F3E7E" w:rsidP="00F355E2">
      <w:pPr>
        <w:spacing w:after="0" w:line="480" w:lineRule="auto"/>
        <w:jc w:val="both"/>
        <w:rPr>
          <w:rFonts w:ascii="Times New Roman" w:hAnsi="Times New Roman" w:cs="Times New Roman"/>
          <w:sz w:val="24"/>
          <w:szCs w:val="24"/>
        </w:rPr>
      </w:pPr>
      <w:r w:rsidRPr="005E3083">
        <w:rPr>
          <w:rFonts w:ascii="Times New Roman" w:hAnsi="Times New Roman" w:cs="Times New Roman"/>
          <w:sz w:val="24"/>
          <w:szCs w:val="24"/>
        </w:rPr>
        <w:tab/>
      </w:r>
      <w:r w:rsidR="008D0884">
        <w:rPr>
          <w:rFonts w:ascii="Times New Roman" w:hAnsi="Times New Roman" w:cs="Times New Roman"/>
          <w:sz w:val="24"/>
          <w:szCs w:val="24"/>
        </w:rPr>
        <w:t>T</w:t>
      </w:r>
      <w:r w:rsidRPr="005E3083">
        <w:rPr>
          <w:rFonts w:ascii="Times New Roman" w:hAnsi="Times New Roman" w:cs="Times New Roman"/>
          <w:sz w:val="24"/>
          <w:szCs w:val="24"/>
        </w:rPr>
        <w:t xml:space="preserve">he ownership by investment funds operated by the large management companies (Blackrock, Vanguard, State Street) of shares </w:t>
      </w:r>
      <w:r w:rsidR="005310D0">
        <w:rPr>
          <w:rFonts w:ascii="Times New Roman" w:hAnsi="Times New Roman" w:cs="Times New Roman"/>
          <w:sz w:val="24"/>
          <w:szCs w:val="24"/>
        </w:rPr>
        <w:t xml:space="preserve">of </w:t>
      </w:r>
      <w:r w:rsidRPr="005E3083">
        <w:rPr>
          <w:rFonts w:ascii="Times New Roman" w:hAnsi="Times New Roman" w:cs="Times New Roman"/>
          <w:sz w:val="24"/>
          <w:szCs w:val="24"/>
        </w:rPr>
        <w:t>all the competing firms in an oligopolistic industry</w:t>
      </w:r>
      <w:r w:rsidR="00DD02C9">
        <w:rPr>
          <w:rFonts w:ascii="Times New Roman" w:hAnsi="Times New Roman" w:cs="Times New Roman"/>
          <w:sz w:val="24"/>
          <w:szCs w:val="24"/>
        </w:rPr>
        <w:t>,</w:t>
      </w:r>
      <w:r w:rsidRPr="005E3083">
        <w:rPr>
          <w:rFonts w:ascii="Times New Roman" w:hAnsi="Times New Roman" w:cs="Times New Roman"/>
          <w:sz w:val="24"/>
          <w:szCs w:val="24"/>
        </w:rPr>
        <w:t xml:space="preserve"> such as the airlines</w:t>
      </w:r>
      <w:r w:rsidR="008D0884">
        <w:rPr>
          <w:rFonts w:ascii="Times New Roman" w:hAnsi="Times New Roman" w:cs="Times New Roman"/>
          <w:sz w:val="24"/>
          <w:szCs w:val="24"/>
        </w:rPr>
        <w:t>, is another exception to the second order observation, one we have considered in an earlier article</w:t>
      </w:r>
      <w:r w:rsidRPr="005E3083">
        <w:rPr>
          <w:rFonts w:ascii="Times New Roman" w:hAnsi="Times New Roman" w:cs="Times New Roman"/>
          <w:sz w:val="24"/>
          <w:szCs w:val="24"/>
        </w:rPr>
        <w:t>.</w:t>
      </w:r>
      <w:r w:rsidRPr="005E3083">
        <w:rPr>
          <w:rStyle w:val="FootnoteReference"/>
          <w:rFonts w:ascii="Times New Roman" w:hAnsi="Times New Roman" w:cs="Times New Roman"/>
          <w:sz w:val="24"/>
          <w:szCs w:val="24"/>
        </w:rPr>
        <w:t xml:space="preserve"> </w:t>
      </w:r>
      <w:r w:rsidRPr="005E3083">
        <w:rPr>
          <w:rStyle w:val="FootnoteReference"/>
          <w:rFonts w:ascii="Times New Roman" w:hAnsi="Times New Roman" w:cs="Times New Roman"/>
          <w:sz w:val="24"/>
          <w:szCs w:val="24"/>
        </w:rPr>
        <w:footnoteReference w:id="64"/>
      </w:r>
      <w:r w:rsidRPr="005E3083">
        <w:rPr>
          <w:rFonts w:ascii="Times New Roman" w:hAnsi="Times New Roman" w:cs="Times New Roman"/>
          <w:sz w:val="24"/>
          <w:szCs w:val="24"/>
        </w:rPr>
        <w:t xml:space="preserve">  In contrast to the alarm sounded by some commentators,</w:t>
      </w:r>
      <w:r w:rsidRPr="005E3083">
        <w:rPr>
          <w:rStyle w:val="FootnoteReference"/>
          <w:rFonts w:ascii="Times New Roman" w:hAnsi="Times New Roman" w:cs="Times New Roman"/>
          <w:sz w:val="24"/>
          <w:szCs w:val="24"/>
        </w:rPr>
        <w:footnoteReference w:id="65"/>
      </w:r>
      <w:r w:rsidRPr="005E3083">
        <w:rPr>
          <w:rFonts w:ascii="Times New Roman" w:hAnsi="Times New Roman" w:cs="Times New Roman"/>
          <w:sz w:val="24"/>
          <w:szCs w:val="24"/>
        </w:rPr>
        <w:t xml:space="preserve"> we concluded that at least at current ownership levels, the interests of the non-common owners in the companies adopting share-value-maximizing output levels will prevail over those of the common owners. </w:t>
      </w:r>
    </w:p>
    <w:p w14:paraId="4BBF1CB2" w14:textId="78461970" w:rsidR="009F3E7E" w:rsidRDefault="009F3E7E" w:rsidP="00F355E2">
      <w:pPr>
        <w:spacing w:after="0" w:line="480" w:lineRule="auto"/>
        <w:jc w:val="both"/>
        <w:rPr>
          <w:rFonts w:ascii="Times New Roman" w:hAnsi="Times New Roman" w:cs="Times New Roman"/>
          <w:sz w:val="24"/>
          <w:szCs w:val="24"/>
        </w:rPr>
      </w:pPr>
      <w:r w:rsidRPr="005E3083">
        <w:rPr>
          <w:rFonts w:ascii="Times New Roman" w:hAnsi="Times New Roman" w:cs="Times New Roman"/>
          <w:sz w:val="24"/>
          <w:szCs w:val="24"/>
        </w:rPr>
        <w:tab/>
        <w:t xml:space="preserve">What, though, about a deviation from share value maximization that may benefit some shareholders of a corporation and not others in terms of their tax status?  Rather than a head on </w:t>
      </w:r>
      <w:r w:rsidRPr="005E3083">
        <w:rPr>
          <w:rFonts w:ascii="Times New Roman" w:hAnsi="Times New Roman" w:cs="Times New Roman"/>
          <w:sz w:val="24"/>
          <w:szCs w:val="24"/>
        </w:rPr>
        <w:lastRenderedPageBreak/>
        <w:t xml:space="preserve">confrontation, the problem is usually resolved through the “clientele effect,” whereby shareholders sort themselves out without suffering a loss in value through one of the two groups purchasing shares in a corporation that better caters to their tax needs. As for differences among shareholders with regard to risk preferences or time horizon over which they seek to realize their gains, </w:t>
      </w:r>
      <w:r w:rsidR="005A4915">
        <w:rPr>
          <w:rFonts w:ascii="Times New Roman" w:hAnsi="Times New Roman" w:cs="Times New Roman"/>
          <w:sz w:val="24"/>
          <w:szCs w:val="24"/>
        </w:rPr>
        <w:t xml:space="preserve">modern finance theory suggests </w:t>
      </w:r>
      <w:r w:rsidRPr="005E3083">
        <w:rPr>
          <w:rFonts w:ascii="Times New Roman" w:hAnsi="Times New Roman" w:cs="Times New Roman"/>
          <w:sz w:val="24"/>
          <w:szCs w:val="24"/>
        </w:rPr>
        <w:t>that the problem is largely solved through transactions in a liquid, efficient secondary trading market</w:t>
      </w:r>
      <w:r w:rsidR="00796064">
        <w:rPr>
          <w:rFonts w:ascii="Times New Roman" w:hAnsi="Times New Roman" w:cs="Times New Roman"/>
          <w:sz w:val="24"/>
          <w:szCs w:val="24"/>
        </w:rPr>
        <w:t>.</w:t>
      </w:r>
      <w:bookmarkStart w:id="18" w:name="_Ref180747100"/>
      <w:r w:rsidR="005A4915">
        <w:rPr>
          <w:rStyle w:val="FootnoteReference"/>
          <w:rFonts w:ascii="Times New Roman" w:hAnsi="Times New Roman" w:cs="Times New Roman"/>
          <w:sz w:val="24"/>
          <w:szCs w:val="24"/>
        </w:rPr>
        <w:footnoteReference w:id="66"/>
      </w:r>
      <w:bookmarkEnd w:id="18"/>
      <w:r w:rsidR="005A4915">
        <w:rPr>
          <w:rFonts w:ascii="Times New Roman" w:hAnsi="Times New Roman" w:cs="Times New Roman"/>
          <w:sz w:val="24"/>
          <w:szCs w:val="24"/>
        </w:rPr>
        <w:t xml:space="preserve">  </w:t>
      </w:r>
    </w:p>
    <w:p w14:paraId="7D7EE0DB" w14:textId="344ED844" w:rsidR="009F3E7E" w:rsidRPr="004A1F32" w:rsidRDefault="009F3E7E" w:rsidP="002C5542">
      <w:pPr>
        <w:pStyle w:val="ListParagraph"/>
        <w:numPr>
          <w:ilvl w:val="0"/>
          <w:numId w:val="4"/>
        </w:numPr>
        <w:spacing w:after="0" w:line="480" w:lineRule="auto"/>
        <w:jc w:val="both"/>
        <w:rPr>
          <w:rFonts w:cs="Times New Roman"/>
          <w:sz w:val="24"/>
          <w:szCs w:val="24"/>
        </w:rPr>
      </w:pPr>
      <w:r w:rsidRPr="005E3083">
        <w:rPr>
          <w:rFonts w:cs="Times New Roman"/>
          <w:sz w:val="24"/>
          <w:szCs w:val="24"/>
        </w:rPr>
        <w:tab/>
      </w:r>
      <w:r w:rsidRPr="004A1F32">
        <w:rPr>
          <w:rFonts w:cs="Times New Roman"/>
          <w:i/>
          <w:iCs/>
          <w:sz w:val="24"/>
          <w:szCs w:val="24"/>
        </w:rPr>
        <w:t>The Other Features of the Corporate Governance Framework</w:t>
      </w:r>
    </w:p>
    <w:p w14:paraId="07851AD6" w14:textId="32C7912D" w:rsidR="009F3E7E" w:rsidRPr="005E3083" w:rsidRDefault="009F3E7E" w:rsidP="002C5542">
      <w:pPr>
        <w:spacing w:after="0" w:line="480" w:lineRule="auto"/>
        <w:ind w:firstLine="720"/>
        <w:jc w:val="both"/>
        <w:rPr>
          <w:rFonts w:ascii="Times New Roman" w:hAnsi="Times New Roman" w:cs="Times New Roman"/>
          <w:sz w:val="24"/>
          <w:szCs w:val="24"/>
        </w:rPr>
      </w:pPr>
      <w:r w:rsidRPr="005E3083">
        <w:rPr>
          <w:rFonts w:ascii="Times New Roman" w:hAnsi="Times New Roman" w:cs="Times New Roman"/>
          <w:sz w:val="24"/>
          <w:szCs w:val="24"/>
        </w:rPr>
        <w:t xml:space="preserve">In addition to the franchise, the other elements of the prevailing corporate governance managerial incentive structure </w:t>
      </w:r>
      <w:r w:rsidR="005F0099">
        <w:rPr>
          <w:rFonts w:ascii="Times New Roman" w:hAnsi="Times New Roman" w:cs="Times New Roman"/>
          <w:sz w:val="24"/>
          <w:szCs w:val="24"/>
        </w:rPr>
        <w:t>includes both sticks and carrots.  T</w:t>
      </w:r>
      <w:r w:rsidRPr="005E3083">
        <w:rPr>
          <w:rFonts w:ascii="Times New Roman" w:hAnsi="Times New Roman" w:cs="Times New Roman"/>
          <w:sz w:val="24"/>
          <w:szCs w:val="24"/>
        </w:rPr>
        <w:t xml:space="preserve">he sticks of a threat of a hostile takeover, </w:t>
      </w:r>
      <w:r w:rsidR="005F0099">
        <w:rPr>
          <w:rFonts w:ascii="Times New Roman" w:hAnsi="Times New Roman" w:cs="Times New Roman"/>
          <w:sz w:val="24"/>
          <w:szCs w:val="24"/>
        </w:rPr>
        <w:t xml:space="preserve">an </w:t>
      </w:r>
      <w:r w:rsidRPr="005E3083">
        <w:rPr>
          <w:rFonts w:ascii="Times New Roman" w:hAnsi="Times New Roman" w:cs="Times New Roman"/>
          <w:sz w:val="24"/>
          <w:szCs w:val="24"/>
        </w:rPr>
        <w:t xml:space="preserve">activist hedge fund campaign, </w:t>
      </w:r>
      <w:r w:rsidR="005F0099">
        <w:rPr>
          <w:rFonts w:ascii="Times New Roman" w:hAnsi="Times New Roman" w:cs="Times New Roman"/>
          <w:sz w:val="24"/>
          <w:szCs w:val="24"/>
        </w:rPr>
        <w:t xml:space="preserve">a </w:t>
      </w:r>
      <w:r w:rsidRPr="005E3083">
        <w:rPr>
          <w:rFonts w:ascii="Times New Roman" w:hAnsi="Times New Roman" w:cs="Times New Roman"/>
          <w:sz w:val="24"/>
          <w:szCs w:val="24"/>
        </w:rPr>
        <w:t xml:space="preserve">price-depressing sale of shares, and </w:t>
      </w:r>
      <w:r w:rsidR="005F0099">
        <w:rPr>
          <w:rFonts w:ascii="Times New Roman" w:hAnsi="Times New Roman" w:cs="Times New Roman"/>
          <w:sz w:val="24"/>
          <w:szCs w:val="24"/>
        </w:rPr>
        <w:t xml:space="preserve">a </w:t>
      </w:r>
      <w:r w:rsidRPr="005E3083">
        <w:rPr>
          <w:rFonts w:ascii="Times New Roman" w:hAnsi="Times New Roman" w:cs="Times New Roman"/>
          <w:sz w:val="24"/>
          <w:szCs w:val="24"/>
        </w:rPr>
        <w:t>suit against directors or officers for breach of fiduciary duties</w:t>
      </w:r>
      <w:r w:rsidR="005F0099">
        <w:rPr>
          <w:rFonts w:ascii="Times New Roman" w:hAnsi="Times New Roman" w:cs="Times New Roman"/>
          <w:sz w:val="24"/>
          <w:szCs w:val="24"/>
        </w:rPr>
        <w:t>.  T</w:t>
      </w:r>
      <w:r w:rsidRPr="005E3083">
        <w:rPr>
          <w:rFonts w:ascii="Times New Roman" w:hAnsi="Times New Roman" w:cs="Times New Roman"/>
          <w:sz w:val="24"/>
          <w:szCs w:val="24"/>
        </w:rPr>
        <w:t xml:space="preserve">he carrots </w:t>
      </w:r>
      <w:r w:rsidR="005F0099">
        <w:rPr>
          <w:rFonts w:ascii="Times New Roman" w:hAnsi="Times New Roman" w:cs="Times New Roman"/>
          <w:sz w:val="24"/>
          <w:szCs w:val="24"/>
        </w:rPr>
        <w:t xml:space="preserve">are </w:t>
      </w:r>
      <w:r w:rsidRPr="005E3083">
        <w:rPr>
          <w:rFonts w:ascii="Times New Roman" w:hAnsi="Times New Roman" w:cs="Times New Roman"/>
          <w:sz w:val="24"/>
          <w:szCs w:val="24"/>
        </w:rPr>
        <w:t xml:space="preserve">the managers’ compensation packages and their own shareholdings in the firm. </w:t>
      </w:r>
    </w:p>
    <w:p w14:paraId="18633F2A" w14:textId="04A9549F" w:rsidR="009F3E7E" w:rsidRDefault="009F3E7E" w:rsidP="002C5542">
      <w:pPr>
        <w:spacing w:after="0" w:line="480" w:lineRule="auto"/>
        <w:ind w:firstLine="720"/>
        <w:jc w:val="both"/>
        <w:rPr>
          <w:rFonts w:ascii="Times New Roman" w:hAnsi="Times New Roman" w:cs="Times New Roman"/>
          <w:sz w:val="24"/>
          <w:szCs w:val="24"/>
        </w:rPr>
      </w:pPr>
      <w:r w:rsidRPr="005E3083">
        <w:rPr>
          <w:rFonts w:ascii="Times New Roman" w:hAnsi="Times New Roman" w:cs="Times New Roman"/>
          <w:sz w:val="24"/>
          <w:szCs w:val="24"/>
        </w:rPr>
        <w:t xml:space="preserve">As has been explored extensively over the last few decades in the literature concerning the agency costs of management, all these </w:t>
      </w:r>
      <w:r w:rsidR="005F0099">
        <w:rPr>
          <w:rFonts w:ascii="Times New Roman" w:hAnsi="Times New Roman" w:cs="Times New Roman"/>
          <w:sz w:val="24"/>
          <w:szCs w:val="24"/>
        </w:rPr>
        <w:t xml:space="preserve">sticks and carrots </w:t>
      </w:r>
      <w:r w:rsidRPr="005E3083">
        <w:rPr>
          <w:rFonts w:ascii="Times New Roman" w:hAnsi="Times New Roman" w:cs="Times New Roman"/>
          <w:sz w:val="24"/>
          <w:szCs w:val="24"/>
        </w:rPr>
        <w:t xml:space="preserve">in general push managers in the direction of maximizing share value. </w:t>
      </w:r>
      <w:r w:rsidR="00E37C89">
        <w:rPr>
          <w:rFonts w:ascii="Times New Roman" w:hAnsi="Times New Roman" w:cs="Times New Roman"/>
          <w:sz w:val="24"/>
          <w:szCs w:val="24"/>
        </w:rPr>
        <w:t>E</w:t>
      </w:r>
      <w:r w:rsidRPr="005E3083">
        <w:rPr>
          <w:rFonts w:ascii="Times New Roman" w:hAnsi="Times New Roman" w:cs="Times New Roman"/>
          <w:sz w:val="24"/>
          <w:szCs w:val="24"/>
        </w:rPr>
        <w:t>ach of these elements is considered</w:t>
      </w:r>
      <w:r w:rsidR="00E37C89">
        <w:rPr>
          <w:rFonts w:ascii="Times New Roman" w:hAnsi="Times New Roman" w:cs="Times New Roman"/>
          <w:sz w:val="24"/>
          <w:szCs w:val="24"/>
        </w:rPr>
        <w:t xml:space="preserve"> </w:t>
      </w:r>
      <w:r w:rsidR="008C32BE">
        <w:rPr>
          <w:rFonts w:ascii="Times New Roman" w:hAnsi="Times New Roman" w:cs="Times New Roman"/>
          <w:sz w:val="24"/>
          <w:szCs w:val="24"/>
        </w:rPr>
        <w:t xml:space="preserve">below </w:t>
      </w:r>
      <w:r w:rsidR="00E37C89">
        <w:rPr>
          <w:rFonts w:ascii="Times New Roman" w:hAnsi="Times New Roman" w:cs="Times New Roman"/>
          <w:sz w:val="24"/>
          <w:szCs w:val="24"/>
        </w:rPr>
        <w:t xml:space="preserve">under the assumption that a meaningful subset of the firm’s shareholders </w:t>
      </w:r>
      <w:r w:rsidR="008C32BE">
        <w:rPr>
          <w:rFonts w:ascii="Times New Roman" w:hAnsi="Times New Roman" w:cs="Times New Roman"/>
          <w:sz w:val="24"/>
          <w:szCs w:val="24"/>
        </w:rPr>
        <w:t>wish the corporation to deviate from share value maximization in furtherance of some aim related to any the three ways in which investor preferences could disagree</w:t>
      </w:r>
      <w:r w:rsidR="00D40EC9">
        <w:rPr>
          <w:rFonts w:ascii="Times New Roman" w:hAnsi="Times New Roman" w:cs="Times New Roman"/>
          <w:sz w:val="24"/>
          <w:szCs w:val="24"/>
        </w:rPr>
        <w:t xml:space="preserve"> delineated in Part I</w:t>
      </w:r>
      <w:r w:rsidR="008C32BE">
        <w:rPr>
          <w:rFonts w:ascii="Times New Roman" w:hAnsi="Times New Roman" w:cs="Times New Roman"/>
          <w:sz w:val="24"/>
          <w:szCs w:val="24"/>
        </w:rPr>
        <w:t xml:space="preserve">: concern about </w:t>
      </w:r>
      <w:r w:rsidR="0062429D">
        <w:rPr>
          <w:rFonts w:ascii="Times New Roman" w:hAnsi="Times New Roman" w:cs="Times New Roman"/>
          <w:sz w:val="24"/>
          <w:szCs w:val="24"/>
        </w:rPr>
        <w:t>market imperfections</w:t>
      </w:r>
      <w:r w:rsidR="008C32BE">
        <w:rPr>
          <w:rFonts w:ascii="Times New Roman" w:hAnsi="Times New Roman" w:cs="Times New Roman"/>
          <w:sz w:val="24"/>
          <w:szCs w:val="24"/>
        </w:rPr>
        <w:t>, concern about wealth redistribution, and the effects of the corporation’s behavior on the shareholders themselves in ways beyond the receipt of dividends and capital gains</w:t>
      </w:r>
      <w:r w:rsidR="00796064">
        <w:rPr>
          <w:rFonts w:ascii="Times New Roman" w:hAnsi="Times New Roman" w:cs="Times New Roman"/>
          <w:sz w:val="24"/>
          <w:szCs w:val="24"/>
        </w:rPr>
        <w:t xml:space="preserve">. </w:t>
      </w:r>
      <w:r w:rsidR="008C32BE">
        <w:rPr>
          <w:rFonts w:ascii="Times New Roman" w:hAnsi="Times New Roman" w:cs="Times New Roman"/>
          <w:sz w:val="24"/>
          <w:szCs w:val="24"/>
        </w:rPr>
        <w:t>The overall conclusion is that</w:t>
      </w:r>
      <w:r w:rsidRPr="005E3083">
        <w:rPr>
          <w:rFonts w:ascii="Times New Roman" w:hAnsi="Times New Roman" w:cs="Times New Roman"/>
          <w:sz w:val="24"/>
          <w:szCs w:val="24"/>
        </w:rPr>
        <w:t xml:space="preserve"> for publicly traded</w:t>
      </w:r>
      <w:r w:rsidR="00E37C89">
        <w:rPr>
          <w:rFonts w:ascii="Times New Roman" w:hAnsi="Times New Roman" w:cs="Times New Roman"/>
          <w:sz w:val="24"/>
          <w:szCs w:val="24"/>
        </w:rPr>
        <w:t>,</w:t>
      </w:r>
      <w:r w:rsidRPr="005E3083">
        <w:rPr>
          <w:rFonts w:ascii="Times New Roman" w:hAnsi="Times New Roman" w:cs="Times New Roman"/>
          <w:sz w:val="24"/>
          <w:szCs w:val="24"/>
        </w:rPr>
        <w:t xml:space="preserve"> dispersed ownership corporations, the force of </w:t>
      </w:r>
      <w:r w:rsidR="008C32BE">
        <w:rPr>
          <w:rFonts w:ascii="Times New Roman" w:hAnsi="Times New Roman" w:cs="Times New Roman"/>
          <w:sz w:val="24"/>
          <w:szCs w:val="24"/>
        </w:rPr>
        <w:t xml:space="preserve">each these elements pushing managers in the direction of share value maximization </w:t>
      </w:r>
      <w:r w:rsidR="00A471B2">
        <w:rPr>
          <w:rFonts w:ascii="Times New Roman" w:hAnsi="Times New Roman" w:cs="Times New Roman"/>
          <w:sz w:val="24"/>
          <w:szCs w:val="24"/>
        </w:rPr>
        <w:t xml:space="preserve">does not appear significantly lessened </w:t>
      </w:r>
      <w:r w:rsidR="00D40EC9">
        <w:rPr>
          <w:rFonts w:ascii="Times New Roman" w:hAnsi="Times New Roman" w:cs="Times New Roman"/>
          <w:sz w:val="24"/>
          <w:szCs w:val="24"/>
        </w:rPr>
        <w:t xml:space="preserve">by </w:t>
      </w:r>
      <w:r w:rsidR="00D40EC9">
        <w:rPr>
          <w:rFonts w:ascii="Times New Roman" w:hAnsi="Times New Roman" w:cs="Times New Roman"/>
          <w:sz w:val="24"/>
          <w:szCs w:val="24"/>
        </w:rPr>
        <w:lastRenderedPageBreak/>
        <w:t xml:space="preserve">the existence of the subset of shareholders seeking a deviation. </w:t>
      </w:r>
      <w:r w:rsidRPr="005E3083">
        <w:rPr>
          <w:rFonts w:ascii="Times New Roman" w:hAnsi="Times New Roman" w:cs="Times New Roman"/>
          <w:sz w:val="24"/>
          <w:szCs w:val="24"/>
        </w:rPr>
        <w:t xml:space="preserve">And certainly none </w:t>
      </w:r>
      <w:r w:rsidR="00D40EC9">
        <w:rPr>
          <w:rFonts w:ascii="Times New Roman" w:hAnsi="Times New Roman" w:cs="Times New Roman"/>
          <w:sz w:val="24"/>
          <w:szCs w:val="24"/>
        </w:rPr>
        <w:t xml:space="preserve">of these elements </w:t>
      </w:r>
      <w:r w:rsidRPr="005E3083">
        <w:rPr>
          <w:rFonts w:ascii="Times New Roman" w:hAnsi="Times New Roman" w:cs="Times New Roman"/>
          <w:sz w:val="24"/>
          <w:szCs w:val="24"/>
        </w:rPr>
        <w:t>appear</w:t>
      </w:r>
      <w:r w:rsidR="00D40EC9">
        <w:rPr>
          <w:rFonts w:ascii="Times New Roman" w:hAnsi="Times New Roman" w:cs="Times New Roman"/>
          <w:sz w:val="24"/>
          <w:szCs w:val="24"/>
        </w:rPr>
        <w:t>s</w:t>
      </w:r>
      <w:r w:rsidRPr="005E3083">
        <w:rPr>
          <w:rFonts w:ascii="Times New Roman" w:hAnsi="Times New Roman" w:cs="Times New Roman"/>
          <w:sz w:val="24"/>
          <w:szCs w:val="24"/>
        </w:rPr>
        <w:t xml:space="preserve"> to be a vehicle by which shareholders seeking such a deviation could affirmatively incentivize managers to accommodate their desires. </w:t>
      </w:r>
    </w:p>
    <w:p w14:paraId="327AE34F" w14:textId="3EDA007E" w:rsidR="009F3E7E" w:rsidRPr="005E3083" w:rsidRDefault="009F3E7E" w:rsidP="002C5542">
      <w:pPr>
        <w:spacing w:after="0" w:line="480" w:lineRule="auto"/>
        <w:ind w:firstLine="720"/>
        <w:jc w:val="both"/>
        <w:rPr>
          <w:rFonts w:ascii="Times New Roman" w:hAnsi="Times New Roman" w:cs="Times New Roman"/>
          <w:sz w:val="24"/>
          <w:szCs w:val="24"/>
        </w:rPr>
      </w:pPr>
      <w:r w:rsidRPr="005E3083">
        <w:rPr>
          <w:rFonts w:ascii="Times New Roman" w:hAnsi="Times New Roman" w:cs="Times New Roman"/>
          <w:i/>
          <w:sz w:val="24"/>
          <w:szCs w:val="24"/>
        </w:rPr>
        <w:t>1. The hostile tender offer.</w:t>
      </w:r>
      <w:r w:rsidRPr="005E3083">
        <w:rPr>
          <w:rFonts w:ascii="Times New Roman" w:hAnsi="Times New Roman" w:cs="Times New Roman"/>
          <w:sz w:val="24"/>
          <w:szCs w:val="24"/>
        </w:rPr>
        <w:t xml:space="preserve"> A hostile </w:t>
      </w:r>
      <w:r w:rsidR="005F0099">
        <w:rPr>
          <w:rFonts w:ascii="Times New Roman" w:hAnsi="Times New Roman" w:cs="Times New Roman"/>
          <w:sz w:val="24"/>
          <w:szCs w:val="24"/>
        </w:rPr>
        <w:t xml:space="preserve">tender offer occurs when a </w:t>
      </w:r>
      <w:r w:rsidRPr="005E3083">
        <w:rPr>
          <w:rFonts w:ascii="Times New Roman" w:hAnsi="Times New Roman" w:cs="Times New Roman"/>
          <w:sz w:val="24"/>
          <w:szCs w:val="24"/>
        </w:rPr>
        <w:t>bidder seeks to purchase a sufficient number of shares from the target’s shareholders such that the bidder can</w:t>
      </w:r>
      <w:r w:rsidR="005F0099">
        <w:rPr>
          <w:rFonts w:ascii="Times New Roman" w:hAnsi="Times New Roman" w:cs="Times New Roman"/>
          <w:sz w:val="24"/>
          <w:szCs w:val="24"/>
        </w:rPr>
        <w:t>, against the will of the incumbent target managers,</w:t>
      </w:r>
      <w:r w:rsidRPr="005E3083">
        <w:rPr>
          <w:rFonts w:ascii="Times New Roman" w:hAnsi="Times New Roman" w:cs="Times New Roman"/>
          <w:sz w:val="24"/>
          <w:szCs w:val="24"/>
        </w:rPr>
        <w:t xml:space="preserve"> replace the</w:t>
      </w:r>
      <w:r w:rsidR="005F0099">
        <w:rPr>
          <w:rFonts w:ascii="Times New Roman" w:hAnsi="Times New Roman" w:cs="Times New Roman"/>
          <w:sz w:val="24"/>
          <w:szCs w:val="24"/>
        </w:rPr>
        <w:t xml:space="preserve">m </w:t>
      </w:r>
      <w:r w:rsidRPr="005E3083">
        <w:rPr>
          <w:rFonts w:ascii="Times New Roman" w:hAnsi="Times New Roman" w:cs="Times New Roman"/>
          <w:sz w:val="24"/>
          <w:szCs w:val="24"/>
        </w:rPr>
        <w:t>through an eventual acquisition. The corporate governance literature generally argues that the threat of a hostile tender offer disciplines firm managers from deviating too far from share value maximization because they do not want to lose their jobs.</w:t>
      </w:r>
      <w:r w:rsidR="008B745A">
        <w:rPr>
          <w:rStyle w:val="FootnoteReference"/>
          <w:rFonts w:ascii="Times New Roman" w:hAnsi="Times New Roman" w:cs="Times New Roman"/>
          <w:sz w:val="24"/>
          <w:szCs w:val="24"/>
        </w:rPr>
        <w:footnoteReference w:id="67"/>
      </w:r>
      <w:r w:rsidRPr="005E3083">
        <w:rPr>
          <w:rFonts w:ascii="Times New Roman" w:hAnsi="Times New Roman" w:cs="Times New Roman"/>
          <w:sz w:val="24"/>
          <w:szCs w:val="24"/>
        </w:rPr>
        <w:t xml:space="preserve"> The idea is that where a firm’s managers fail to maximize share value, a hostile bidder can offer to purchase the firm’s shares from current shareholders at a price reflecting a premium, but one that is less than the value of the shares if it were run in a share value maximizing fashion. Upon gaining control of the target firm and replacing its managers, the acquiror will cause the new management to maximize the firm’s share value, thereby yielding a </w:t>
      </w:r>
      <w:r w:rsidR="005F0099">
        <w:rPr>
          <w:rFonts w:ascii="Times New Roman" w:hAnsi="Times New Roman" w:cs="Times New Roman"/>
          <w:sz w:val="24"/>
          <w:szCs w:val="24"/>
        </w:rPr>
        <w:t>gain</w:t>
      </w:r>
      <w:r w:rsidRPr="005E3083">
        <w:rPr>
          <w:rFonts w:ascii="Times New Roman" w:hAnsi="Times New Roman" w:cs="Times New Roman"/>
          <w:sz w:val="24"/>
          <w:szCs w:val="24"/>
        </w:rPr>
        <w:t xml:space="preserve">. </w:t>
      </w:r>
    </w:p>
    <w:p w14:paraId="2F6F1841" w14:textId="779A4EAC" w:rsidR="009F3E7E" w:rsidRDefault="00E84FC4" w:rsidP="002C554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fear of such a hostile tender offer will tend to deter a firm’s managers from deviating from share</w:t>
      </w:r>
      <w:r w:rsidR="0062429D">
        <w:rPr>
          <w:rFonts w:ascii="Times New Roman" w:hAnsi="Times New Roman" w:cs="Times New Roman"/>
          <w:sz w:val="24"/>
          <w:szCs w:val="24"/>
        </w:rPr>
        <w:t xml:space="preserve"> </w:t>
      </w:r>
      <w:r>
        <w:rPr>
          <w:rFonts w:ascii="Times New Roman" w:hAnsi="Times New Roman" w:cs="Times New Roman"/>
          <w:sz w:val="24"/>
          <w:szCs w:val="24"/>
        </w:rPr>
        <w:t>value</w:t>
      </w:r>
      <w:r w:rsidR="0062429D">
        <w:rPr>
          <w:rFonts w:ascii="Times New Roman" w:hAnsi="Times New Roman" w:cs="Times New Roman"/>
          <w:sz w:val="24"/>
          <w:szCs w:val="24"/>
        </w:rPr>
        <w:t xml:space="preserve"> </w:t>
      </w:r>
      <w:r>
        <w:rPr>
          <w:rFonts w:ascii="Times New Roman" w:hAnsi="Times New Roman" w:cs="Times New Roman"/>
          <w:sz w:val="24"/>
          <w:szCs w:val="24"/>
        </w:rPr>
        <w:t xml:space="preserve">maximization </w:t>
      </w:r>
      <w:r w:rsidR="000A3DC0">
        <w:rPr>
          <w:rFonts w:ascii="Times New Roman" w:hAnsi="Times New Roman" w:cs="Times New Roman"/>
          <w:sz w:val="24"/>
          <w:szCs w:val="24"/>
        </w:rPr>
        <w:t xml:space="preserve">in furtherance of some other aim </w:t>
      </w:r>
      <w:r>
        <w:rPr>
          <w:rFonts w:ascii="Times New Roman" w:hAnsi="Times New Roman" w:cs="Times New Roman"/>
          <w:sz w:val="24"/>
          <w:szCs w:val="24"/>
        </w:rPr>
        <w:t xml:space="preserve">even if </w:t>
      </w:r>
      <w:r w:rsidR="000A3DC0">
        <w:rPr>
          <w:rFonts w:ascii="Times New Roman" w:hAnsi="Times New Roman" w:cs="Times New Roman"/>
          <w:sz w:val="24"/>
          <w:szCs w:val="24"/>
        </w:rPr>
        <w:t xml:space="preserve">a meaningful subset of the firm’s shareholders were prefer that it do so. And if the managers of a firm nevertheless engaged in such a deviation, they would risk being replaced by an acquirer who would eliminate the deviation.  </w:t>
      </w:r>
      <w:r w:rsidR="005F0099">
        <w:rPr>
          <w:rFonts w:ascii="Times New Roman" w:hAnsi="Times New Roman" w:cs="Times New Roman"/>
          <w:sz w:val="24"/>
          <w:szCs w:val="24"/>
        </w:rPr>
        <w:t xml:space="preserve">As long as a majority of shareholders are willing to sell at a premium, the power of this stick to </w:t>
      </w:r>
      <w:r w:rsidR="001C4DB2">
        <w:rPr>
          <w:rFonts w:ascii="Times New Roman" w:hAnsi="Times New Roman" w:cs="Times New Roman"/>
          <w:sz w:val="24"/>
          <w:szCs w:val="24"/>
        </w:rPr>
        <w:t>incentivize</w:t>
      </w:r>
      <w:r w:rsidR="005F0099">
        <w:rPr>
          <w:rFonts w:ascii="Times New Roman" w:hAnsi="Times New Roman" w:cs="Times New Roman"/>
          <w:sz w:val="24"/>
          <w:szCs w:val="24"/>
        </w:rPr>
        <w:t xml:space="preserve"> managers to maximize share value would not be </w:t>
      </w:r>
      <w:r w:rsidR="009F3E7E" w:rsidRPr="005E3083">
        <w:rPr>
          <w:rFonts w:ascii="Times New Roman" w:hAnsi="Times New Roman" w:cs="Times New Roman"/>
          <w:sz w:val="24"/>
          <w:szCs w:val="24"/>
        </w:rPr>
        <w:t xml:space="preserve">weakened by the shareholders </w:t>
      </w:r>
      <w:r w:rsidR="009F3E7E" w:rsidRPr="005E3083">
        <w:rPr>
          <w:rFonts w:ascii="Times New Roman" w:hAnsi="Times New Roman" w:cs="Times New Roman"/>
          <w:sz w:val="24"/>
          <w:szCs w:val="24"/>
        </w:rPr>
        <w:lastRenderedPageBreak/>
        <w:t xml:space="preserve">who prefer its managers </w:t>
      </w:r>
      <w:r w:rsidR="000A3DC0">
        <w:rPr>
          <w:rFonts w:ascii="Times New Roman" w:hAnsi="Times New Roman" w:cs="Times New Roman"/>
          <w:sz w:val="24"/>
          <w:szCs w:val="24"/>
        </w:rPr>
        <w:t>behave otherwise.</w:t>
      </w:r>
      <w:r w:rsidR="009F3E7E" w:rsidRPr="005E3083">
        <w:rPr>
          <w:rStyle w:val="FootnoteReference"/>
          <w:rFonts w:ascii="Times New Roman" w:hAnsi="Times New Roman" w:cs="Times New Roman"/>
          <w:sz w:val="24"/>
          <w:szCs w:val="24"/>
        </w:rPr>
        <w:footnoteReference w:id="68"/>
      </w:r>
      <w:r w:rsidR="009F3E7E" w:rsidRPr="005E3083">
        <w:rPr>
          <w:rFonts w:ascii="Times New Roman" w:hAnsi="Times New Roman" w:cs="Times New Roman"/>
          <w:sz w:val="24"/>
          <w:szCs w:val="24"/>
        </w:rPr>
        <w:t xml:space="preserve"> Certainly, no </w:t>
      </w:r>
      <w:r>
        <w:rPr>
          <w:rFonts w:ascii="Times New Roman" w:hAnsi="Times New Roman" w:cs="Times New Roman"/>
          <w:sz w:val="24"/>
          <w:szCs w:val="24"/>
        </w:rPr>
        <w:t xml:space="preserve">wealth-maximizing </w:t>
      </w:r>
      <w:r w:rsidR="009F3E7E" w:rsidRPr="005E3083">
        <w:rPr>
          <w:rFonts w:ascii="Times New Roman" w:hAnsi="Times New Roman" w:cs="Times New Roman"/>
          <w:sz w:val="24"/>
          <w:szCs w:val="24"/>
        </w:rPr>
        <w:t xml:space="preserve">bidder would rationally mount a tender offer for the purpose of eventually causing the acquired firm to adhere to the preferences of the firm’s shareholders who want a deviation from share value maximization, and we have seen no counter examples. Such an offer would result in a loss </w:t>
      </w:r>
      <w:r w:rsidR="009F6FCB">
        <w:rPr>
          <w:rFonts w:ascii="Times New Roman" w:hAnsi="Times New Roman" w:cs="Times New Roman"/>
          <w:sz w:val="24"/>
          <w:szCs w:val="24"/>
        </w:rPr>
        <w:t>vis-à-vis</w:t>
      </w:r>
      <w:r w:rsidR="009F3E7E" w:rsidRPr="005E3083">
        <w:rPr>
          <w:rFonts w:ascii="Times New Roman" w:hAnsi="Times New Roman" w:cs="Times New Roman"/>
          <w:sz w:val="24"/>
          <w:szCs w:val="24"/>
        </w:rPr>
        <w:t xml:space="preserve"> the purchase price, not a gain</w:t>
      </w:r>
      <w:r w:rsidR="00796064">
        <w:rPr>
          <w:rFonts w:ascii="Times New Roman" w:hAnsi="Times New Roman" w:cs="Times New Roman"/>
          <w:sz w:val="24"/>
          <w:szCs w:val="24"/>
        </w:rPr>
        <w:t xml:space="preserve">. </w:t>
      </w:r>
    </w:p>
    <w:p w14:paraId="54024530" w14:textId="24CFF17D" w:rsidR="009F3E7E" w:rsidRPr="005E3083" w:rsidRDefault="009F3E7E" w:rsidP="002C5542">
      <w:pPr>
        <w:spacing w:after="0" w:line="480" w:lineRule="auto"/>
        <w:ind w:firstLine="720"/>
        <w:jc w:val="both"/>
        <w:rPr>
          <w:rFonts w:ascii="Times New Roman" w:hAnsi="Times New Roman" w:cs="Times New Roman"/>
          <w:sz w:val="24"/>
          <w:szCs w:val="24"/>
        </w:rPr>
      </w:pPr>
      <w:r w:rsidRPr="005E3083">
        <w:rPr>
          <w:rFonts w:ascii="Times New Roman" w:hAnsi="Times New Roman" w:cs="Times New Roman"/>
          <w:i/>
          <w:sz w:val="24"/>
          <w:szCs w:val="24"/>
        </w:rPr>
        <w:t xml:space="preserve">2. The activist hedge fund. </w:t>
      </w:r>
      <w:r w:rsidRPr="005E3083">
        <w:rPr>
          <w:rFonts w:ascii="Times New Roman" w:hAnsi="Times New Roman" w:cs="Times New Roman"/>
          <w:sz w:val="24"/>
          <w:szCs w:val="24"/>
        </w:rPr>
        <w:t>The activist hedge fund’s standard business model involves four steps: (i) identify a firm where a change in the way it is run would increase its share price, (ii) acquire a foothold stake in the target firm of perhaps 5-7% of its outstanding shares, (iii) persuade enough other of the target’s shareholders of the desirability of the change to constitute a majority vote to oust the incumbent managers if they do not adopt the change, and (iv) sell the shares at a profit after the change is adopted and the share price increases to reflect the improvement</w:t>
      </w:r>
      <w:r w:rsidR="00796064">
        <w:rPr>
          <w:rFonts w:ascii="Times New Roman" w:hAnsi="Times New Roman" w:cs="Times New Roman"/>
          <w:sz w:val="24"/>
          <w:szCs w:val="24"/>
        </w:rPr>
        <w:t xml:space="preserve">. </w:t>
      </w:r>
      <w:r w:rsidRPr="005E3083">
        <w:rPr>
          <w:rFonts w:ascii="Times New Roman" w:hAnsi="Times New Roman" w:cs="Times New Roman"/>
          <w:sz w:val="24"/>
          <w:szCs w:val="24"/>
        </w:rPr>
        <w:t xml:space="preserve"> As with the hostile tender offer, no </w:t>
      </w:r>
      <w:r w:rsidR="00E84FC4">
        <w:rPr>
          <w:rFonts w:ascii="Times New Roman" w:hAnsi="Times New Roman" w:cs="Times New Roman"/>
          <w:sz w:val="24"/>
          <w:szCs w:val="24"/>
        </w:rPr>
        <w:t xml:space="preserve">wealth-maximizing </w:t>
      </w:r>
      <w:r w:rsidRPr="005E3083">
        <w:rPr>
          <w:rFonts w:ascii="Times New Roman" w:hAnsi="Times New Roman" w:cs="Times New Roman"/>
          <w:sz w:val="24"/>
          <w:szCs w:val="24"/>
        </w:rPr>
        <w:t xml:space="preserve">activist would rationally mount a </w:t>
      </w:r>
      <w:r w:rsidR="00E84FC4">
        <w:rPr>
          <w:rFonts w:ascii="Times New Roman" w:hAnsi="Times New Roman" w:cs="Times New Roman"/>
          <w:sz w:val="24"/>
          <w:szCs w:val="24"/>
        </w:rPr>
        <w:t xml:space="preserve">campaign </w:t>
      </w:r>
      <w:r w:rsidRPr="005E3083">
        <w:rPr>
          <w:rFonts w:ascii="Times New Roman" w:hAnsi="Times New Roman" w:cs="Times New Roman"/>
          <w:sz w:val="24"/>
          <w:szCs w:val="24"/>
        </w:rPr>
        <w:t xml:space="preserve">for the purpose of </w:t>
      </w:r>
      <w:r w:rsidR="00E84FC4">
        <w:rPr>
          <w:rFonts w:ascii="Times New Roman" w:hAnsi="Times New Roman" w:cs="Times New Roman"/>
          <w:sz w:val="24"/>
          <w:szCs w:val="24"/>
        </w:rPr>
        <w:t xml:space="preserve">causing a firm </w:t>
      </w:r>
      <w:r w:rsidRPr="005E3083">
        <w:rPr>
          <w:rFonts w:ascii="Times New Roman" w:hAnsi="Times New Roman" w:cs="Times New Roman"/>
          <w:sz w:val="24"/>
          <w:szCs w:val="24"/>
        </w:rPr>
        <w:t xml:space="preserve">to adhere to the preferences of the firm’s shareholders who want a deviation from share value maximization, and again we have seen no counterexamples. The difference from a hostile tender offer, however, is the central role of shareholder voting. Thus, if there were a situation where a firm’s managers have already implemented a deviation from share value maximization preferred by a meaningful number of shareholders, particularly by large investment funds, an activist would be much less likely to launch a campaign to reverse the situation because, even though it would raise share price should it succeed, it would have a significantly smaller chance of success in the first place. </w:t>
      </w:r>
    </w:p>
    <w:p w14:paraId="082AE7EF" w14:textId="528B41BF" w:rsidR="009F3E7E" w:rsidRDefault="009F3E7E" w:rsidP="002C5542">
      <w:pPr>
        <w:spacing w:after="0" w:line="480" w:lineRule="auto"/>
        <w:ind w:firstLine="720"/>
        <w:jc w:val="both"/>
        <w:rPr>
          <w:rFonts w:ascii="Times New Roman" w:hAnsi="Times New Roman" w:cs="Times New Roman"/>
          <w:sz w:val="24"/>
          <w:szCs w:val="24"/>
        </w:rPr>
      </w:pPr>
      <w:r w:rsidRPr="005E3083">
        <w:rPr>
          <w:rFonts w:ascii="Times New Roman" w:hAnsi="Times New Roman" w:cs="Times New Roman"/>
          <w:i/>
          <w:sz w:val="24"/>
          <w:szCs w:val="24"/>
        </w:rPr>
        <w:lastRenderedPageBreak/>
        <w:t>3. Sale of share blocks</w:t>
      </w:r>
      <w:r w:rsidR="00796064">
        <w:rPr>
          <w:rFonts w:ascii="Times New Roman" w:hAnsi="Times New Roman" w:cs="Times New Roman"/>
          <w:i/>
          <w:sz w:val="24"/>
          <w:szCs w:val="24"/>
        </w:rPr>
        <w:t xml:space="preserve">. </w:t>
      </w:r>
      <w:r w:rsidRPr="005E3083">
        <w:rPr>
          <w:rFonts w:ascii="Times New Roman" w:hAnsi="Times New Roman" w:cs="Times New Roman"/>
          <w:sz w:val="24"/>
          <w:szCs w:val="24"/>
        </w:rPr>
        <w:t>When a large block of shares is sold all at once, this often has a negative influence on price. The corporate governance literature suggests that where the holder of a large block wishes management to change course, the threat of sale can sometimes persuade managers, who fear such a price drop, to do what the block holder wishes.</w:t>
      </w:r>
      <w:r w:rsidR="00C84C46" w:rsidRPr="00C84C46">
        <w:rPr>
          <w:rStyle w:val="CommentReference"/>
          <w:rFonts w:ascii="Times New Roman" w:hAnsi="Times New Roman"/>
          <w:szCs w:val="24"/>
        </w:rPr>
        <w:t xml:space="preserve"> </w:t>
      </w:r>
      <w:r w:rsidR="00C84C46">
        <w:rPr>
          <w:rStyle w:val="FootnoteReference"/>
          <w:rFonts w:ascii="Times New Roman" w:hAnsi="Times New Roman"/>
          <w:szCs w:val="24"/>
        </w:rPr>
        <w:footnoteReference w:id="69"/>
      </w:r>
      <w:r w:rsidRPr="005E3083">
        <w:rPr>
          <w:rFonts w:ascii="Times New Roman" w:hAnsi="Times New Roman" w:cs="Times New Roman"/>
          <w:sz w:val="24"/>
          <w:szCs w:val="24"/>
        </w:rPr>
        <w:t xml:space="preserve"> This is very unlikely to work</w:t>
      </w:r>
      <w:r w:rsidR="000A3DC0">
        <w:rPr>
          <w:rFonts w:ascii="Times New Roman" w:hAnsi="Times New Roman" w:cs="Times New Roman"/>
          <w:sz w:val="24"/>
          <w:szCs w:val="24"/>
        </w:rPr>
        <w:t xml:space="preserve"> however,</w:t>
      </w:r>
      <w:r w:rsidRPr="005E3083">
        <w:rPr>
          <w:rFonts w:ascii="Times New Roman" w:hAnsi="Times New Roman" w:cs="Times New Roman"/>
          <w:sz w:val="24"/>
          <w:szCs w:val="24"/>
        </w:rPr>
        <w:t xml:space="preserve"> where the block shareholder wishes managers to change corporate behavior in some way that would deviate from share value maximization. To start, the managers would be just as afraid of the price drop that the change in behavior would cause as </w:t>
      </w:r>
      <w:r w:rsidR="00A471B2">
        <w:rPr>
          <w:rFonts w:ascii="Times New Roman" w:hAnsi="Times New Roman" w:cs="Times New Roman"/>
          <w:sz w:val="24"/>
          <w:szCs w:val="24"/>
        </w:rPr>
        <w:t xml:space="preserve">they would </w:t>
      </w:r>
      <w:r w:rsidRPr="005E3083">
        <w:rPr>
          <w:rFonts w:ascii="Times New Roman" w:hAnsi="Times New Roman" w:cs="Times New Roman"/>
          <w:sz w:val="24"/>
          <w:szCs w:val="24"/>
        </w:rPr>
        <w:t xml:space="preserve">from </w:t>
      </w:r>
      <w:r w:rsidR="00A471B2">
        <w:rPr>
          <w:rFonts w:ascii="Times New Roman" w:hAnsi="Times New Roman" w:cs="Times New Roman"/>
          <w:sz w:val="24"/>
          <w:szCs w:val="24"/>
        </w:rPr>
        <w:t xml:space="preserve">of any drop in price from </w:t>
      </w:r>
      <w:r w:rsidRPr="005E3083">
        <w:rPr>
          <w:rFonts w:ascii="Times New Roman" w:hAnsi="Times New Roman" w:cs="Times New Roman"/>
          <w:sz w:val="24"/>
          <w:szCs w:val="24"/>
        </w:rPr>
        <w:t xml:space="preserve">the sale. </w:t>
      </w:r>
      <w:r w:rsidR="00E20E22">
        <w:rPr>
          <w:rFonts w:ascii="Times New Roman" w:hAnsi="Times New Roman" w:cs="Times New Roman"/>
          <w:sz w:val="24"/>
          <w:szCs w:val="24"/>
        </w:rPr>
        <w:t xml:space="preserve"> </w:t>
      </w:r>
      <w:r w:rsidRPr="005E3083">
        <w:rPr>
          <w:rFonts w:ascii="Times New Roman" w:hAnsi="Times New Roman" w:cs="Times New Roman"/>
          <w:sz w:val="24"/>
          <w:szCs w:val="24"/>
        </w:rPr>
        <w:t>Also, microstructure economics teaches us that the reason that a share sale can depress price is because the market infers from the seller</w:t>
      </w:r>
      <w:r w:rsidR="00E20E22">
        <w:rPr>
          <w:rFonts w:ascii="Times New Roman" w:hAnsi="Times New Roman" w:cs="Times New Roman"/>
          <w:sz w:val="24"/>
          <w:szCs w:val="24"/>
        </w:rPr>
        <w:t>’s</w:t>
      </w:r>
      <w:r w:rsidRPr="005E3083">
        <w:rPr>
          <w:rFonts w:ascii="Times New Roman" w:hAnsi="Times New Roman" w:cs="Times New Roman"/>
          <w:sz w:val="24"/>
          <w:szCs w:val="24"/>
        </w:rPr>
        <w:t xml:space="preserve"> order the possibility that the seller has negative nonpublic information not reflected in the price prior to the sale, an inference that would not be correct here.</w:t>
      </w:r>
      <w:r w:rsidRPr="005E3083">
        <w:rPr>
          <w:rStyle w:val="FootnoteReference"/>
          <w:rFonts w:ascii="Times New Roman" w:hAnsi="Times New Roman" w:cs="Times New Roman"/>
          <w:sz w:val="24"/>
          <w:szCs w:val="24"/>
        </w:rPr>
        <w:footnoteReference w:id="70"/>
      </w:r>
      <w:r w:rsidRPr="005E3083">
        <w:rPr>
          <w:rFonts w:ascii="Times New Roman" w:hAnsi="Times New Roman" w:cs="Times New Roman"/>
          <w:sz w:val="24"/>
          <w:szCs w:val="24"/>
        </w:rPr>
        <w:t xml:space="preserve">  </w:t>
      </w:r>
      <w:r w:rsidR="00E20E22">
        <w:rPr>
          <w:rFonts w:ascii="Times New Roman" w:hAnsi="Times New Roman" w:cs="Times New Roman"/>
          <w:sz w:val="24"/>
          <w:szCs w:val="24"/>
        </w:rPr>
        <w:t>Even if the price does drop initially in response to the sale, w</w:t>
      </w:r>
      <w:r w:rsidRPr="005E3083">
        <w:rPr>
          <w:rFonts w:ascii="Times New Roman" w:hAnsi="Times New Roman" w:cs="Times New Roman"/>
          <w:sz w:val="24"/>
          <w:szCs w:val="24"/>
        </w:rPr>
        <w:t>hen nothing comes out subsequently to suggest the existence of any negative news, the price will quickly regain what it lost</w:t>
      </w:r>
      <w:r w:rsidR="00796064">
        <w:rPr>
          <w:rFonts w:ascii="Times New Roman" w:hAnsi="Times New Roman" w:cs="Times New Roman"/>
          <w:sz w:val="24"/>
          <w:szCs w:val="24"/>
        </w:rPr>
        <w:t>.</w:t>
      </w:r>
      <w:r w:rsidR="00996F04">
        <w:rPr>
          <w:rStyle w:val="FootnoteReference"/>
          <w:rFonts w:ascii="Times New Roman" w:hAnsi="Times New Roman" w:cs="Times New Roman"/>
          <w:sz w:val="24"/>
          <w:szCs w:val="24"/>
        </w:rPr>
        <w:footnoteReference w:id="71"/>
      </w:r>
      <w:r w:rsidR="00996F04">
        <w:rPr>
          <w:rFonts w:ascii="Times New Roman" w:hAnsi="Times New Roman" w:cs="Times New Roman"/>
          <w:sz w:val="24"/>
          <w:szCs w:val="24"/>
        </w:rPr>
        <w:t xml:space="preserve"> </w:t>
      </w:r>
      <w:r w:rsidR="00796064">
        <w:rPr>
          <w:rFonts w:ascii="Times New Roman" w:hAnsi="Times New Roman" w:cs="Times New Roman"/>
          <w:sz w:val="24"/>
          <w:szCs w:val="24"/>
        </w:rPr>
        <w:t xml:space="preserve"> </w:t>
      </w:r>
      <w:r w:rsidRPr="005E3083">
        <w:rPr>
          <w:rFonts w:ascii="Times New Roman" w:hAnsi="Times New Roman" w:cs="Times New Roman"/>
          <w:sz w:val="24"/>
          <w:szCs w:val="24"/>
        </w:rPr>
        <w:t xml:space="preserve">A short-lived price dip is unlikely to significantly hurt managers and is thus not a credible threat. </w:t>
      </w:r>
    </w:p>
    <w:p w14:paraId="71107D16" w14:textId="55738BEF" w:rsidR="009F3E7E" w:rsidRPr="005E3083" w:rsidRDefault="009F3E7E" w:rsidP="002C5542">
      <w:pPr>
        <w:spacing w:after="0" w:line="480" w:lineRule="auto"/>
        <w:jc w:val="both"/>
        <w:rPr>
          <w:rFonts w:ascii="Times New Roman" w:hAnsi="Times New Roman" w:cs="Times New Roman"/>
          <w:sz w:val="24"/>
          <w:szCs w:val="24"/>
        </w:rPr>
      </w:pPr>
      <w:r w:rsidRPr="005E3083">
        <w:rPr>
          <w:rFonts w:ascii="Times New Roman" w:hAnsi="Times New Roman" w:cs="Times New Roman"/>
          <w:i/>
          <w:sz w:val="24"/>
          <w:szCs w:val="24"/>
        </w:rPr>
        <w:tab/>
        <w:t>4. Fiduciary duties</w:t>
      </w:r>
      <w:r w:rsidR="00796064">
        <w:rPr>
          <w:rFonts w:ascii="Times New Roman" w:hAnsi="Times New Roman" w:cs="Times New Roman"/>
          <w:i/>
          <w:sz w:val="24"/>
          <w:szCs w:val="24"/>
        </w:rPr>
        <w:t xml:space="preserve">. </w:t>
      </w:r>
      <w:r w:rsidRPr="005E3083">
        <w:rPr>
          <w:rFonts w:ascii="Times New Roman" w:hAnsi="Times New Roman" w:cs="Times New Roman"/>
          <w:sz w:val="24"/>
          <w:szCs w:val="24"/>
        </w:rPr>
        <w:t xml:space="preserve"> The duty of care requires a corporation’s directors and officers to exercise reasonable care that the actions they take are in the best interests of the corporation. The duty of loyalty requires a director or officer who has an interest in a proposed corporate action to behave fairly toward the corporation, in essence prohibiting her participation in any decision  unless she can affirmatively show that the action is in the best interests of the corporation. Breach </w:t>
      </w:r>
      <w:r w:rsidRPr="005E3083">
        <w:rPr>
          <w:rFonts w:ascii="Times New Roman" w:hAnsi="Times New Roman" w:cs="Times New Roman"/>
          <w:sz w:val="24"/>
          <w:szCs w:val="24"/>
        </w:rPr>
        <w:lastRenderedPageBreak/>
        <w:t xml:space="preserve">of either of these duties can subject the director or officer to suits seeking injunctive relief or monetary damages. </w:t>
      </w:r>
    </w:p>
    <w:p w14:paraId="25B2A25E" w14:textId="77777777" w:rsidR="006421AE" w:rsidRDefault="009F3E7E" w:rsidP="002C5542">
      <w:pPr>
        <w:spacing w:after="0" w:line="480" w:lineRule="auto"/>
        <w:jc w:val="both"/>
        <w:rPr>
          <w:rFonts w:ascii="Times New Roman" w:hAnsi="Times New Roman" w:cs="Times New Roman"/>
          <w:sz w:val="24"/>
          <w:szCs w:val="24"/>
        </w:rPr>
      </w:pPr>
      <w:r w:rsidRPr="005E3083">
        <w:rPr>
          <w:rFonts w:ascii="Times New Roman" w:hAnsi="Times New Roman" w:cs="Times New Roman"/>
          <w:sz w:val="24"/>
          <w:szCs w:val="24"/>
        </w:rPr>
        <w:tab/>
        <w:t xml:space="preserve">Understanding each of these duties depends on the concept of the “best interests of the corporation.”  A corporation is an artificial legal person. What its best interests are thus must be a legal construct as well, created in some fashion out of a selection of the interests of several types of actual individuals that have a stake in the decisions that the corporation makes. The ALI Corporate Governance Principles, for example, provides in part: “[A] corporation should have as its objective the conduct of business activities with a view to enhancing corporate profit and shareholder gain.”  </w:t>
      </w:r>
    </w:p>
    <w:p w14:paraId="209B96DA" w14:textId="5DBF5FBD" w:rsidR="009F3E7E" w:rsidRDefault="006421AE" w:rsidP="002C554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9F3E7E" w:rsidRPr="005E3083">
        <w:rPr>
          <w:rFonts w:ascii="Times New Roman" w:hAnsi="Times New Roman" w:cs="Times New Roman"/>
          <w:sz w:val="24"/>
          <w:szCs w:val="24"/>
        </w:rPr>
        <w:t>To the extent that the concept of the best interests of the corporation relates to the interests of individual shareholders rather than simply what generates the most net cash flow for the corporation over time discounted to present value, an argument could be made that the best interests of the corporation is the decision that maximizes the interests of the average shareholder</w:t>
      </w:r>
      <w:r w:rsidR="00796064">
        <w:rPr>
          <w:rFonts w:ascii="Times New Roman" w:hAnsi="Times New Roman" w:cs="Times New Roman"/>
          <w:sz w:val="24"/>
          <w:szCs w:val="24"/>
        </w:rPr>
        <w:t xml:space="preserve">. </w:t>
      </w:r>
      <w:r w:rsidR="00FB5E45">
        <w:rPr>
          <w:rFonts w:ascii="Times New Roman" w:hAnsi="Times New Roman" w:cs="Times New Roman"/>
          <w:sz w:val="24"/>
          <w:szCs w:val="24"/>
        </w:rPr>
        <w:t xml:space="preserve">Suppose, for example, that </w:t>
      </w:r>
      <w:r w:rsidR="009F3E7E" w:rsidRPr="005E3083">
        <w:rPr>
          <w:rFonts w:ascii="Times New Roman" w:hAnsi="Times New Roman" w:cs="Times New Roman"/>
          <w:sz w:val="24"/>
          <w:szCs w:val="24"/>
        </w:rPr>
        <w:t>there is evidence that for social reasons a majority of shareholders preferred some deviation from share value maximization (say the successful passage of a precatory resolution, a resolution adopted pursuant to a subject-broadened franchise, or directors elected on the pledge they would undertake the deviation) but the officers and directors are ignoring this majority preference.</w:t>
      </w:r>
      <w:r w:rsidR="00FB5E45">
        <w:rPr>
          <w:rFonts w:ascii="Times New Roman" w:hAnsi="Times New Roman" w:cs="Times New Roman"/>
          <w:sz w:val="24"/>
          <w:szCs w:val="24"/>
        </w:rPr>
        <w:t xml:space="preserve"> </w:t>
      </w:r>
      <w:r w:rsidR="00E20E22">
        <w:rPr>
          <w:rFonts w:ascii="Times New Roman" w:hAnsi="Times New Roman" w:cs="Times New Roman"/>
          <w:sz w:val="24"/>
          <w:szCs w:val="24"/>
        </w:rPr>
        <w:t>Although we have not found any examples to date, t</w:t>
      </w:r>
      <w:r w:rsidR="00FB5E45">
        <w:rPr>
          <w:rFonts w:ascii="Times New Roman" w:hAnsi="Times New Roman" w:cs="Times New Roman"/>
          <w:sz w:val="24"/>
          <w:szCs w:val="24"/>
        </w:rPr>
        <w:t xml:space="preserve">hese circumstances </w:t>
      </w:r>
      <w:r w:rsidR="00FB5E45" w:rsidRPr="005E3083">
        <w:rPr>
          <w:rFonts w:ascii="Times New Roman" w:hAnsi="Times New Roman" w:cs="Times New Roman"/>
          <w:sz w:val="24"/>
          <w:szCs w:val="24"/>
        </w:rPr>
        <w:t xml:space="preserve">could conceivably be the basis of a derivative suit </w:t>
      </w:r>
      <w:r w:rsidR="00FB5E45">
        <w:rPr>
          <w:rFonts w:ascii="Times New Roman" w:hAnsi="Times New Roman" w:cs="Times New Roman"/>
          <w:sz w:val="24"/>
          <w:szCs w:val="24"/>
        </w:rPr>
        <w:t>under the theory that the best interests of the average shareholder would be better served if the corporation undertook the deviation</w:t>
      </w:r>
      <w:r w:rsidR="00796064">
        <w:rPr>
          <w:rFonts w:ascii="Times New Roman" w:hAnsi="Times New Roman" w:cs="Times New Roman"/>
          <w:sz w:val="24"/>
          <w:szCs w:val="24"/>
        </w:rPr>
        <w:t xml:space="preserve">. </w:t>
      </w:r>
      <w:r w:rsidR="00A557EE">
        <w:rPr>
          <w:rFonts w:ascii="Times New Roman" w:hAnsi="Times New Roman" w:cs="Times New Roman"/>
          <w:sz w:val="24"/>
          <w:szCs w:val="24"/>
        </w:rPr>
        <w:t xml:space="preserve">If </w:t>
      </w:r>
      <w:r>
        <w:rPr>
          <w:rFonts w:ascii="Times New Roman" w:hAnsi="Times New Roman" w:cs="Times New Roman"/>
          <w:sz w:val="24"/>
          <w:szCs w:val="24"/>
        </w:rPr>
        <w:t xml:space="preserve">in this instance </w:t>
      </w:r>
      <w:r w:rsidR="00A557EE">
        <w:rPr>
          <w:rFonts w:ascii="Times New Roman" w:hAnsi="Times New Roman" w:cs="Times New Roman"/>
          <w:sz w:val="24"/>
          <w:szCs w:val="24"/>
        </w:rPr>
        <w:t xml:space="preserve">management’s behavior is potentially the violation of any duty, </w:t>
      </w:r>
      <w:r>
        <w:rPr>
          <w:rFonts w:ascii="Times New Roman" w:hAnsi="Times New Roman" w:cs="Times New Roman"/>
          <w:sz w:val="24"/>
          <w:szCs w:val="24"/>
        </w:rPr>
        <w:t xml:space="preserve">however, </w:t>
      </w:r>
      <w:r w:rsidR="00A557EE">
        <w:rPr>
          <w:rFonts w:ascii="Times New Roman" w:hAnsi="Times New Roman" w:cs="Times New Roman"/>
          <w:sz w:val="24"/>
          <w:szCs w:val="24"/>
        </w:rPr>
        <w:t>it is likely the duty of care</w:t>
      </w:r>
      <w:r w:rsidR="00EE6D38">
        <w:rPr>
          <w:rFonts w:ascii="Times New Roman" w:hAnsi="Times New Roman" w:cs="Times New Roman"/>
          <w:sz w:val="24"/>
          <w:szCs w:val="24"/>
        </w:rPr>
        <w:t>.</w:t>
      </w:r>
      <w:r w:rsidR="00A557EE">
        <w:rPr>
          <w:rFonts w:ascii="Times New Roman" w:hAnsi="Times New Roman" w:cs="Times New Roman"/>
          <w:sz w:val="24"/>
          <w:szCs w:val="24"/>
        </w:rPr>
        <w:t xml:space="preserve"> </w:t>
      </w:r>
      <w:r w:rsidR="00EE6D38">
        <w:rPr>
          <w:rFonts w:ascii="Times New Roman" w:hAnsi="Times New Roman" w:cs="Times New Roman"/>
          <w:sz w:val="24"/>
          <w:szCs w:val="24"/>
        </w:rPr>
        <w:t xml:space="preserve">This is </w:t>
      </w:r>
      <w:r w:rsidR="00A557EE">
        <w:rPr>
          <w:rFonts w:ascii="Times New Roman" w:hAnsi="Times New Roman" w:cs="Times New Roman"/>
          <w:sz w:val="24"/>
          <w:szCs w:val="24"/>
        </w:rPr>
        <w:t>because the behavior involved a failure to advance the purposes of the corporation</w:t>
      </w:r>
      <w:r w:rsidR="008848A5">
        <w:rPr>
          <w:rFonts w:ascii="Times New Roman" w:hAnsi="Times New Roman" w:cs="Times New Roman"/>
          <w:sz w:val="24"/>
          <w:szCs w:val="24"/>
        </w:rPr>
        <w:t>,</w:t>
      </w:r>
      <w:r w:rsidR="008848A5">
        <w:rPr>
          <w:rStyle w:val="FootnoteReference"/>
          <w:rFonts w:ascii="Times New Roman" w:hAnsi="Times New Roman" w:cs="Times New Roman"/>
          <w:sz w:val="24"/>
          <w:szCs w:val="24"/>
        </w:rPr>
        <w:footnoteReference w:id="72"/>
      </w:r>
      <w:r w:rsidR="00A557EE">
        <w:rPr>
          <w:rFonts w:ascii="Times New Roman" w:hAnsi="Times New Roman" w:cs="Times New Roman"/>
          <w:sz w:val="24"/>
          <w:szCs w:val="24"/>
        </w:rPr>
        <w:t xml:space="preserve"> </w:t>
      </w:r>
      <w:r w:rsidR="00A557EE">
        <w:rPr>
          <w:rFonts w:ascii="Times New Roman" w:hAnsi="Times New Roman" w:cs="Times New Roman"/>
          <w:sz w:val="24"/>
          <w:szCs w:val="24"/>
        </w:rPr>
        <w:lastRenderedPageBreak/>
        <w:t xml:space="preserve">rather </w:t>
      </w:r>
      <w:r w:rsidR="008848A5">
        <w:rPr>
          <w:rFonts w:ascii="Times New Roman" w:hAnsi="Times New Roman" w:cs="Times New Roman"/>
          <w:sz w:val="24"/>
          <w:szCs w:val="24"/>
        </w:rPr>
        <w:t xml:space="preserve">than </w:t>
      </w:r>
      <w:r w:rsidR="00A557EE">
        <w:rPr>
          <w:rFonts w:ascii="Times New Roman" w:hAnsi="Times New Roman" w:cs="Times New Roman"/>
          <w:sz w:val="24"/>
          <w:szCs w:val="24"/>
        </w:rPr>
        <w:t>a conflict of interest on the part of managers</w:t>
      </w:r>
      <w:r>
        <w:rPr>
          <w:rFonts w:ascii="Times New Roman" w:hAnsi="Times New Roman" w:cs="Times New Roman"/>
          <w:sz w:val="24"/>
          <w:szCs w:val="24"/>
        </w:rPr>
        <w:t>,</w:t>
      </w:r>
      <w:r w:rsidR="00A557EE">
        <w:rPr>
          <w:rFonts w:ascii="Times New Roman" w:hAnsi="Times New Roman" w:cs="Times New Roman"/>
          <w:sz w:val="24"/>
          <w:szCs w:val="24"/>
        </w:rPr>
        <w:t xml:space="preserve"> as would be required for a breach of the duty of loyalty.  </w:t>
      </w:r>
      <w:r w:rsidR="00EE6D38">
        <w:rPr>
          <w:rFonts w:ascii="Times New Roman" w:hAnsi="Times New Roman" w:cs="Times New Roman"/>
          <w:sz w:val="24"/>
          <w:szCs w:val="24"/>
        </w:rPr>
        <w:t xml:space="preserve">Because of the business judgment rule, successful </w:t>
      </w:r>
      <w:r w:rsidR="00A557EE">
        <w:rPr>
          <w:rFonts w:ascii="Times New Roman" w:hAnsi="Times New Roman" w:cs="Times New Roman"/>
          <w:sz w:val="24"/>
          <w:szCs w:val="24"/>
        </w:rPr>
        <w:t xml:space="preserve">duty of care </w:t>
      </w:r>
      <w:r>
        <w:rPr>
          <w:rFonts w:ascii="Times New Roman" w:hAnsi="Times New Roman" w:cs="Times New Roman"/>
          <w:sz w:val="24"/>
          <w:szCs w:val="24"/>
        </w:rPr>
        <w:t>cases</w:t>
      </w:r>
      <w:r w:rsidR="00EE6D38">
        <w:rPr>
          <w:rFonts w:ascii="Times New Roman" w:hAnsi="Times New Roman" w:cs="Times New Roman"/>
          <w:sz w:val="24"/>
          <w:szCs w:val="24"/>
        </w:rPr>
        <w:t xml:space="preserve"> are rare even when the </w:t>
      </w:r>
      <w:r w:rsidR="008848A5">
        <w:rPr>
          <w:rFonts w:ascii="Times New Roman" w:hAnsi="Times New Roman" w:cs="Times New Roman"/>
          <w:sz w:val="24"/>
          <w:szCs w:val="24"/>
        </w:rPr>
        <w:t xml:space="preserve">claim is that the </w:t>
      </w:r>
      <w:r w:rsidR="00EE6D38">
        <w:rPr>
          <w:rFonts w:ascii="Times New Roman" w:hAnsi="Times New Roman" w:cs="Times New Roman"/>
          <w:sz w:val="24"/>
          <w:szCs w:val="24"/>
        </w:rPr>
        <w:t xml:space="preserve">managers were </w:t>
      </w:r>
      <w:r w:rsidR="008848A5">
        <w:rPr>
          <w:rFonts w:ascii="Times New Roman" w:hAnsi="Times New Roman" w:cs="Times New Roman"/>
          <w:sz w:val="24"/>
          <w:szCs w:val="24"/>
        </w:rPr>
        <w:t xml:space="preserve">failing to </w:t>
      </w:r>
      <w:r w:rsidR="00EE6D38">
        <w:rPr>
          <w:rFonts w:ascii="Times New Roman" w:hAnsi="Times New Roman" w:cs="Times New Roman"/>
          <w:sz w:val="24"/>
          <w:szCs w:val="24"/>
        </w:rPr>
        <w:t>pursuing profits</w:t>
      </w:r>
      <w:r w:rsidR="008848A5">
        <w:rPr>
          <w:rFonts w:ascii="Times New Roman" w:hAnsi="Times New Roman" w:cs="Times New Roman"/>
          <w:sz w:val="24"/>
          <w:szCs w:val="24"/>
        </w:rPr>
        <w:t>.</w:t>
      </w:r>
      <w:r w:rsidR="00EE6D38">
        <w:rPr>
          <w:rFonts w:ascii="Times New Roman" w:hAnsi="Times New Roman" w:cs="Times New Roman"/>
          <w:sz w:val="24"/>
          <w:szCs w:val="24"/>
        </w:rPr>
        <w:t xml:space="preserve">  </w:t>
      </w:r>
      <w:r>
        <w:rPr>
          <w:rFonts w:ascii="Times New Roman" w:hAnsi="Times New Roman" w:cs="Times New Roman"/>
          <w:sz w:val="24"/>
          <w:szCs w:val="24"/>
        </w:rPr>
        <w:t>This is b</w:t>
      </w:r>
      <w:r w:rsidR="00EE6D38">
        <w:rPr>
          <w:rFonts w:ascii="Times New Roman" w:hAnsi="Times New Roman" w:cs="Times New Roman"/>
          <w:sz w:val="24"/>
          <w:szCs w:val="24"/>
        </w:rPr>
        <w:t>ecause j</w:t>
      </w:r>
      <w:r w:rsidR="00A557EE">
        <w:rPr>
          <w:rFonts w:ascii="Times New Roman" w:hAnsi="Times New Roman" w:cs="Times New Roman"/>
          <w:sz w:val="24"/>
          <w:szCs w:val="24"/>
        </w:rPr>
        <w:t>udges</w:t>
      </w:r>
      <w:r>
        <w:rPr>
          <w:rFonts w:ascii="Times New Roman" w:hAnsi="Times New Roman" w:cs="Times New Roman"/>
          <w:sz w:val="24"/>
          <w:szCs w:val="24"/>
        </w:rPr>
        <w:t xml:space="preserve"> </w:t>
      </w:r>
      <w:r w:rsidR="00A557EE">
        <w:rPr>
          <w:rFonts w:ascii="Times New Roman" w:hAnsi="Times New Roman" w:cs="Times New Roman"/>
          <w:sz w:val="24"/>
          <w:szCs w:val="24"/>
        </w:rPr>
        <w:t xml:space="preserve">do not view themselves as business experts, </w:t>
      </w:r>
      <w:r>
        <w:rPr>
          <w:rFonts w:ascii="Times New Roman" w:hAnsi="Times New Roman" w:cs="Times New Roman"/>
          <w:sz w:val="24"/>
          <w:szCs w:val="24"/>
        </w:rPr>
        <w:t>and so</w:t>
      </w:r>
      <w:r w:rsidR="008848A5">
        <w:rPr>
          <w:rFonts w:ascii="Times New Roman" w:hAnsi="Times New Roman" w:cs="Times New Roman"/>
          <w:sz w:val="24"/>
          <w:szCs w:val="24"/>
        </w:rPr>
        <w:t xml:space="preserve"> </w:t>
      </w:r>
      <w:r w:rsidR="00EE6D38">
        <w:rPr>
          <w:rFonts w:ascii="Times New Roman" w:hAnsi="Times New Roman" w:cs="Times New Roman"/>
          <w:sz w:val="24"/>
          <w:szCs w:val="24"/>
        </w:rPr>
        <w:t xml:space="preserve">they </w:t>
      </w:r>
      <w:r w:rsidR="00A557EE">
        <w:rPr>
          <w:rFonts w:ascii="Times New Roman" w:hAnsi="Times New Roman" w:cs="Times New Roman"/>
          <w:sz w:val="24"/>
          <w:szCs w:val="24"/>
        </w:rPr>
        <w:t>are reluctant to second guess management as to what decisions best further the purposes of the corporation</w:t>
      </w:r>
      <w:r>
        <w:rPr>
          <w:rFonts w:ascii="Times New Roman" w:hAnsi="Times New Roman" w:cs="Times New Roman"/>
          <w:sz w:val="24"/>
          <w:szCs w:val="24"/>
        </w:rPr>
        <w:t>.</w:t>
      </w:r>
      <w:r w:rsidR="008848A5">
        <w:rPr>
          <w:rStyle w:val="FootnoteReference"/>
          <w:rFonts w:ascii="Times New Roman" w:hAnsi="Times New Roman" w:cs="Times New Roman"/>
          <w:sz w:val="24"/>
          <w:szCs w:val="24"/>
        </w:rPr>
        <w:footnoteReference w:id="73"/>
      </w:r>
      <w:r w:rsidR="00EE6D38">
        <w:rPr>
          <w:rFonts w:ascii="Times New Roman" w:hAnsi="Times New Roman" w:cs="Times New Roman"/>
          <w:sz w:val="24"/>
          <w:szCs w:val="24"/>
        </w:rPr>
        <w:t xml:space="preserve"> </w:t>
      </w:r>
      <w:r>
        <w:rPr>
          <w:rFonts w:ascii="Times New Roman" w:hAnsi="Times New Roman" w:cs="Times New Roman"/>
          <w:sz w:val="24"/>
          <w:szCs w:val="24"/>
        </w:rPr>
        <w:t>T</w:t>
      </w:r>
      <w:r w:rsidR="00EE6D38">
        <w:rPr>
          <w:rFonts w:ascii="Times New Roman" w:hAnsi="Times New Roman" w:cs="Times New Roman"/>
          <w:sz w:val="24"/>
          <w:szCs w:val="24"/>
        </w:rPr>
        <w:t>his rationale would presumably extend non-share-value-maximization aims as well</w:t>
      </w:r>
      <w:r w:rsidR="00A557EE">
        <w:rPr>
          <w:rFonts w:ascii="Times New Roman" w:hAnsi="Times New Roman" w:cs="Times New Roman"/>
          <w:sz w:val="24"/>
          <w:szCs w:val="24"/>
        </w:rPr>
        <w:t xml:space="preserve">. </w:t>
      </w:r>
    </w:p>
    <w:p w14:paraId="0BF6E55E" w14:textId="4B52C613" w:rsidR="009F3E7E" w:rsidRDefault="009F3E7E" w:rsidP="002C5542">
      <w:pPr>
        <w:spacing w:after="0" w:line="480" w:lineRule="auto"/>
        <w:ind w:firstLine="720"/>
        <w:jc w:val="both"/>
        <w:rPr>
          <w:rFonts w:ascii="Times New Roman" w:hAnsi="Times New Roman" w:cs="Times New Roman"/>
          <w:sz w:val="24"/>
          <w:szCs w:val="24"/>
        </w:rPr>
      </w:pPr>
      <w:r w:rsidRPr="005E3083">
        <w:rPr>
          <w:rFonts w:ascii="Times New Roman" w:hAnsi="Times New Roman" w:cs="Times New Roman"/>
          <w:i/>
          <w:sz w:val="24"/>
          <w:szCs w:val="24"/>
        </w:rPr>
        <w:t xml:space="preserve">5. Executive compensation. </w:t>
      </w:r>
      <w:r w:rsidRPr="005E3083">
        <w:rPr>
          <w:rFonts w:ascii="Times New Roman" w:hAnsi="Times New Roman" w:cs="Times New Roman"/>
          <w:sz w:val="24"/>
          <w:szCs w:val="24"/>
        </w:rPr>
        <w:t>Executive pay packages have traditionally involved some mix of fixed salary with a share-price-based component as well. Th</w:t>
      </w:r>
      <w:r w:rsidR="007847E0">
        <w:rPr>
          <w:rFonts w:ascii="Times New Roman" w:hAnsi="Times New Roman" w:cs="Times New Roman"/>
          <w:sz w:val="24"/>
          <w:szCs w:val="24"/>
        </w:rPr>
        <w:t xml:space="preserve">e share-price-based portion </w:t>
      </w:r>
      <w:r w:rsidRPr="005E3083">
        <w:rPr>
          <w:rFonts w:ascii="Times New Roman" w:hAnsi="Times New Roman" w:cs="Times New Roman"/>
          <w:sz w:val="24"/>
          <w:szCs w:val="24"/>
        </w:rPr>
        <w:t>obviously incentivizes managers to maximize share value and that incentive is not weakened solely because some meaningful percentage of shareholders prefer for social reasons that the corporation do otherwise.</w:t>
      </w:r>
      <w:r w:rsidR="00093E7F">
        <w:rPr>
          <w:rStyle w:val="FootnoteReference"/>
          <w:rFonts w:ascii="Times New Roman" w:hAnsi="Times New Roman" w:cs="Times New Roman"/>
          <w:sz w:val="24"/>
          <w:szCs w:val="24"/>
        </w:rPr>
        <w:footnoteReference w:id="74"/>
      </w:r>
      <w:r w:rsidRPr="005E3083">
        <w:rPr>
          <w:rFonts w:ascii="Times New Roman" w:hAnsi="Times New Roman" w:cs="Times New Roman"/>
          <w:sz w:val="24"/>
          <w:szCs w:val="24"/>
        </w:rPr>
        <w:t xml:space="preserve"> </w:t>
      </w:r>
    </w:p>
    <w:p w14:paraId="35E08A07" w14:textId="081370F5" w:rsidR="009F6FCB" w:rsidRDefault="009F6FCB" w:rsidP="009F6FC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Corporations now also routinely tether executive compensation to environmental, social, and governance (ESG) metrics.</w:t>
      </w:r>
      <w:bookmarkStart w:id="19" w:name="_Ref180749235"/>
      <w:r>
        <w:rPr>
          <w:rStyle w:val="FootnoteReference"/>
          <w:rFonts w:ascii="Times New Roman" w:hAnsi="Times New Roman" w:cs="Times New Roman"/>
          <w:sz w:val="24"/>
          <w:szCs w:val="24"/>
        </w:rPr>
        <w:footnoteReference w:id="75"/>
      </w:r>
      <w:bookmarkEnd w:id="19"/>
      <w:r>
        <w:rPr>
          <w:rFonts w:ascii="Times New Roman" w:hAnsi="Times New Roman" w:cs="Times New Roman"/>
          <w:sz w:val="24"/>
          <w:szCs w:val="24"/>
        </w:rPr>
        <w:t xml:space="preserve"> This aspect of executive compensation does not provide any real incentives for firm managers to undertake the ESG activities targeted by the included metrics where the activities would be antithetical to share value maximization</w:t>
      </w:r>
      <w:r w:rsidR="00FA7543">
        <w:rPr>
          <w:rFonts w:ascii="Times New Roman" w:hAnsi="Times New Roman" w:cs="Times New Roman"/>
          <w:sz w:val="24"/>
          <w:szCs w:val="24"/>
        </w:rPr>
        <w:t>, however</w:t>
      </w:r>
      <w:r>
        <w:rPr>
          <w:rFonts w:ascii="Times New Roman" w:hAnsi="Times New Roman" w:cs="Times New Roman"/>
          <w:sz w:val="24"/>
          <w:szCs w:val="24"/>
        </w:rPr>
        <w:t>. As has been documented elsewhere, ESG-based compensation is a very small component of managers’ overall compensation, and recent studies show that ESG-based compensation accounts for just a couple of percentage points of total executive yearly pay.</w:t>
      </w:r>
      <w:r>
        <w:rPr>
          <w:rStyle w:val="FootnoteReference"/>
          <w:rFonts w:ascii="Times New Roman" w:hAnsi="Times New Roman" w:cs="Times New Roman"/>
          <w:sz w:val="24"/>
          <w:szCs w:val="24"/>
        </w:rPr>
        <w:footnoteReference w:id="76"/>
      </w:r>
      <w:r>
        <w:rPr>
          <w:rFonts w:ascii="Times New Roman" w:hAnsi="Times New Roman" w:cs="Times New Roman"/>
          <w:sz w:val="24"/>
          <w:szCs w:val="24"/>
        </w:rPr>
        <w:t xml:space="preserve">  More relevant to our analysis, executives’ ESG-based compensation is </w:t>
      </w:r>
      <w:r w:rsidR="00440225">
        <w:rPr>
          <w:rFonts w:ascii="Times New Roman" w:hAnsi="Times New Roman" w:cs="Times New Roman"/>
          <w:sz w:val="24"/>
          <w:szCs w:val="24"/>
        </w:rPr>
        <w:t>negligible</w:t>
      </w:r>
      <w:r>
        <w:rPr>
          <w:rFonts w:ascii="Times New Roman" w:hAnsi="Times New Roman" w:cs="Times New Roman"/>
          <w:sz w:val="24"/>
          <w:szCs w:val="24"/>
        </w:rPr>
        <w:t xml:space="preserve"> in relation to executives’ stock-based compensation.</w:t>
      </w:r>
      <w:r>
        <w:rPr>
          <w:rStyle w:val="FootnoteReference"/>
          <w:rFonts w:ascii="Times New Roman" w:hAnsi="Times New Roman" w:cs="Times New Roman"/>
          <w:sz w:val="24"/>
          <w:szCs w:val="24"/>
        </w:rPr>
        <w:footnoteReference w:id="77"/>
      </w:r>
      <w:r>
        <w:rPr>
          <w:rFonts w:ascii="Times New Roman" w:hAnsi="Times New Roman" w:cs="Times New Roman"/>
          <w:sz w:val="24"/>
          <w:szCs w:val="24"/>
        </w:rPr>
        <w:t xml:space="preserve">  So, regardless of the effect of </w:t>
      </w:r>
      <w:r w:rsidR="00440225">
        <w:rPr>
          <w:rFonts w:ascii="Times New Roman" w:hAnsi="Times New Roman" w:cs="Times New Roman"/>
          <w:sz w:val="24"/>
          <w:szCs w:val="24"/>
        </w:rPr>
        <w:t xml:space="preserve">current </w:t>
      </w:r>
      <w:r>
        <w:rPr>
          <w:rFonts w:ascii="Times New Roman" w:hAnsi="Times New Roman" w:cs="Times New Roman"/>
          <w:sz w:val="24"/>
          <w:szCs w:val="24"/>
        </w:rPr>
        <w:t xml:space="preserve">ESG metrics on ESG activity generally, it seems highly implausible that those metrics work </w:t>
      </w:r>
      <w:r w:rsidR="00440225">
        <w:rPr>
          <w:rFonts w:ascii="Times New Roman" w:hAnsi="Times New Roman" w:cs="Times New Roman"/>
          <w:sz w:val="24"/>
          <w:szCs w:val="24"/>
        </w:rPr>
        <w:t xml:space="preserve">in any way </w:t>
      </w:r>
      <w:r>
        <w:rPr>
          <w:rFonts w:ascii="Times New Roman" w:hAnsi="Times New Roman" w:cs="Times New Roman"/>
          <w:sz w:val="24"/>
          <w:szCs w:val="24"/>
        </w:rPr>
        <w:t xml:space="preserve">to incentivize firm managers to undertake </w:t>
      </w:r>
      <w:r w:rsidRPr="00000FA4">
        <w:rPr>
          <w:rFonts w:ascii="Times New Roman" w:hAnsi="Times New Roman" w:cs="Times New Roman"/>
          <w:i/>
          <w:iCs/>
          <w:sz w:val="24"/>
          <w:szCs w:val="24"/>
        </w:rPr>
        <w:t>share value lessening</w:t>
      </w:r>
      <w:r>
        <w:rPr>
          <w:rFonts w:ascii="Times New Roman" w:hAnsi="Times New Roman" w:cs="Times New Roman"/>
          <w:sz w:val="24"/>
          <w:szCs w:val="24"/>
        </w:rPr>
        <w:t xml:space="preserve"> ESG activity, </w:t>
      </w:r>
      <w:r w:rsidR="00440225">
        <w:rPr>
          <w:rFonts w:ascii="Times New Roman" w:hAnsi="Times New Roman" w:cs="Times New Roman"/>
          <w:sz w:val="24"/>
          <w:szCs w:val="24"/>
        </w:rPr>
        <w:t xml:space="preserve">especially </w:t>
      </w:r>
      <w:r>
        <w:rPr>
          <w:rFonts w:ascii="Times New Roman" w:hAnsi="Times New Roman" w:cs="Times New Roman"/>
          <w:sz w:val="24"/>
          <w:szCs w:val="24"/>
        </w:rPr>
        <w:t xml:space="preserve">given that </w:t>
      </w:r>
      <w:r w:rsidR="00440225">
        <w:rPr>
          <w:rFonts w:ascii="Times New Roman" w:hAnsi="Times New Roman" w:cs="Times New Roman"/>
          <w:sz w:val="24"/>
          <w:szCs w:val="24"/>
        </w:rPr>
        <w:t>the accompanying</w:t>
      </w:r>
      <w:r>
        <w:rPr>
          <w:rFonts w:ascii="Times New Roman" w:hAnsi="Times New Roman" w:cs="Times New Roman"/>
          <w:sz w:val="24"/>
          <w:szCs w:val="24"/>
        </w:rPr>
        <w:t xml:space="preserve"> drop in share value would </w:t>
      </w:r>
      <w:r>
        <w:rPr>
          <w:rFonts w:ascii="Times New Roman" w:hAnsi="Times New Roman" w:cs="Times New Roman"/>
          <w:sz w:val="24"/>
          <w:szCs w:val="24"/>
        </w:rPr>
        <w:lastRenderedPageBreak/>
        <w:t>reduce the much larger portion of the manager’s compensation that is set by the company’s share price.</w:t>
      </w:r>
      <w:bookmarkStart w:id="20" w:name="_Ref180749250"/>
      <w:r>
        <w:rPr>
          <w:rStyle w:val="FootnoteReference"/>
          <w:rFonts w:ascii="Times New Roman" w:hAnsi="Times New Roman" w:cs="Times New Roman"/>
          <w:sz w:val="24"/>
          <w:szCs w:val="24"/>
        </w:rPr>
        <w:footnoteReference w:id="78"/>
      </w:r>
      <w:bookmarkEnd w:id="20"/>
      <w:r>
        <w:rPr>
          <w:rFonts w:ascii="Times New Roman" w:hAnsi="Times New Roman" w:cs="Times New Roman"/>
          <w:sz w:val="24"/>
          <w:szCs w:val="24"/>
        </w:rPr>
        <w:t xml:space="preserve">   </w:t>
      </w:r>
    </w:p>
    <w:p w14:paraId="07642E69" w14:textId="7B3CDC04" w:rsidR="00FC39EF" w:rsidRDefault="00FC39EF" w:rsidP="00FC39EF">
      <w:pPr>
        <w:spacing w:after="0" w:line="240" w:lineRule="auto"/>
        <w:ind w:right="90"/>
        <w:jc w:val="center"/>
        <w:rPr>
          <w:rFonts w:ascii="Times New Roman" w:hAnsi="Times New Roman" w:cs="Times New Roman"/>
          <w:b/>
          <w:sz w:val="24"/>
          <w:szCs w:val="24"/>
        </w:rPr>
      </w:pPr>
      <w:r w:rsidRPr="00D41EE3">
        <w:rPr>
          <w:rFonts w:ascii="Times New Roman" w:hAnsi="Times New Roman" w:cs="Times New Roman"/>
          <w:sz w:val="24"/>
          <w:szCs w:val="24"/>
        </w:rPr>
        <w:fldChar w:fldCharType="begin"/>
      </w:r>
      <w:r w:rsidRPr="00D41EE3">
        <w:rPr>
          <w:rFonts w:ascii="Times New Roman" w:hAnsi="Times New Roman" w:cs="Times New Roman"/>
          <w:sz w:val="24"/>
          <w:szCs w:val="24"/>
        </w:rPr>
        <w:instrText xml:space="preserve"> SEQ CHAPTER \h \r 1</w:instrText>
      </w:r>
      <w:r w:rsidRPr="00D41EE3">
        <w:rPr>
          <w:rFonts w:ascii="Times New Roman" w:hAnsi="Times New Roman" w:cs="Times New Roman"/>
          <w:sz w:val="24"/>
          <w:szCs w:val="24"/>
        </w:rPr>
        <w:fldChar w:fldCharType="end"/>
      </w:r>
      <w:r w:rsidRPr="00D41EE3">
        <w:rPr>
          <w:rFonts w:ascii="Times New Roman" w:hAnsi="Times New Roman" w:cs="Times New Roman"/>
          <w:b/>
          <w:sz w:val="24"/>
          <w:szCs w:val="24"/>
        </w:rPr>
        <w:t>III. Factors Affecting the Shareholder Makeup of Firms and Their Implications for Firm Behavior</w:t>
      </w:r>
    </w:p>
    <w:p w14:paraId="295513A4" w14:textId="77777777" w:rsidR="00FC39EF" w:rsidRPr="00D41EE3" w:rsidRDefault="00FC39EF" w:rsidP="00FC39EF">
      <w:pPr>
        <w:spacing w:after="0" w:line="480" w:lineRule="auto"/>
        <w:ind w:right="90"/>
        <w:jc w:val="both"/>
        <w:rPr>
          <w:rFonts w:ascii="Times New Roman" w:hAnsi="Times New Roman" w:cs="Times New Roman"/>
          <w:b/>
          <w:sz w:val="24"/>
          <w:szCs w:val="24"/>
        </w:rPr>
      </w:pPr>
    </w:p>
    <w:p w14:paraId="3FDF3579" w14:textId="0EA8695E" w:rsidR="00FC39EF" w:rsidRDefault="00FC39EF" w:rsidP="00FC39EF">
      <w:pPr>
        <w:spacing w:after="0" w:line="480" w:lineRule="auto"/>
        <w:ind w:right="90"/>
        <w:jc w:val="both"/>
        <w:rPr>
          <w:rFonts w:ascii="Times New Roman" w:hAnsi="Times New Roman" w:cs="Times New Roman"/>
          <w:sz w:val="24"/>
          <w:szCs w:val="24"/>
        </w:rPr>
      </w:pPr>
      <w:r w:rsidRPr="00D41EE3">
        <w:rPr>
          <w:rFonts w:ascii="Times New Roman" w:hAnsi="Times New Roman" w:cs="Times New Roman"/>
          <w:sz w:val="24"/>
          <w:szCs w:val="24"/>
        </w:rPr>
        <w:tab/>
        <w:t xml:space="preserve">In Part II of this </w:t>
      </w:r>
      <w:r w:rsidR="00C11CCE">
        <w:rPr>
          <w:rFonts w:ascii="Times New Roman" w:hAnsi="Times New Roman" w:cs="Times New Roman"/>
          <w:sz w:val="24"/>
          <w:szCs w:val="24"/>
        </w:rPr>
        <w:t>article</w:t>
      </w:r>
      <w:r w:rsidRPr="00D41EE3">
        <w:rPr>
          <w:rFonts w:ascii="Times New Roman" w:hAnsi="Times New Roman" w:cs="Times New Roman"/>
          <w:sz w:val="24"/>
          <w:szCs w:val="24"/>
        </w:rPr>
        <w:t xml:space="preserve">, we </w:t>
      </w:r>
      <w:r>
        <w:rPr>
          <w:rFonts w:ascii="Times New Roman" w:hAnsi="Times New Roman" w:cs="Times New Roman"/>
          <w:sz w:val="24"/>
          <w:szCs w:val="24"/>
        </w:rPr>
        <w:t xml:space="preserve">conducted the first stage of our inquiry into whether the existence of equity investors with profit-sacrificing preferences can influence corporate behavior. In that first stage, we </w:t>
      </w:r>
      <w:r w:rsidRPr="00D41EE3">
        <w:rPr>
          <w:rFonts w:ascii="Times New Roman" w:hAnsi="Times New Roman" w:cs="Times New Roman"/>
          <w:sz w:val="24"/>
          <w:szCs w:val="24"/>
        </w:rPr>
        <w:t xml:space="preserve">took the initial existing shareholder makeup of each of the economy’s public firms as </w:t>
      </w:r>
      <w:r>
        <w:rPr>
          <w:rFonts w:ascii="Times New Roman" w:hAnsi="Times New Roman" w:cs="Times New Roman"/>
          <w:sz w:val="24"/>
          <w:szCs w:val="24"/>
        </w:rPr>
        <w:t>fixed and resembling, on average, the composition of the economy’s equity investors generally</w:t>
      </w:r>
      <w:r w:rsidR="00796064">
        <w:rPr>
          <w:rFonts w:ascii="Times New Roman" w:hAnsi="Times New Roman" w:cs="Times New Roman"/>
          <w:sz w:val="24"/>
          <w:szCs w:val="24"/>
        </w:rPr>
        <w:t xml:space="preserve">. </w:t>
      </w:r>
      <w:r>
        <w:rPr>
          <w:rFonts w:ascii="Times New Roman" w:hAnsi="Times New Roman" w:cs="Times New Roman"/>
          <w:sz w:val="24"/>
          <w:szCs w:val="24"/>
        </w:rPr>
        <w:t xml:space="preserve"> Any difference in the composition by preference of a firm’s shareholder body (i.e., any difference in the profile of differing preferences) from the composition by preference of equity investors in general was assumed to be due to chance</w:t>
      </w:r>
      <w:r w:rsidR="00796064">
        <w:rPr>
          <w:rFonts w:ascii="Times New Roman" w:hAnsi="Times New Roman" w:cs="Times New Roman"/>
          <w:sz w:val="24"/>
          <w:szCs w:val="24"/>
        </w:rPr>
        <w:t xml:space="preserve">. </w:t>
      </w:r>
      <w:r w:rsidR="00D76D0F">
        <w:rPr>
          <w:rFonts w:ascii="Times New Roman" w:hAnsi="Times New Roman" w:cs="Times New Roman"/>
          <w:sz w:val="24"/>
          <w:szCs w:val="24"/>
        </w:rPr>
        <w:t xml:space="preserve"> This would be the result where, although</w:t>
      </w:r>
      <w:r>
        <w:rPr>
          <w:rFonts w:ascii="Times New Roman" w:hAnsi="Times New Roman" w:cs="Times New Roman"/>
          <w:sz w:val="24"/>
          <w:szCs w:val="24"/>
        </w:rPr>
        <w:t xml:space="preserve"> the economy’s equity investors as a group might differ among themselves in terms of their preferences concerning how they wish various corporations to behave </w:t>
      </w:r>
      <w:r w:rsidR="00360B3A">
        <w:rPr>
          <w:rFonts w:ascii="Times New Roman" w:hAnsi="Times New Roman" w:cs="Times New Roman"/>
          <w:sz w:val="24"/>
          <w:szCs w:val="24"/>
        </w:rPr>
        <w:t>with respect to</w:t>
      </w:r>
      <w:r>
        <w:rPr>
          <w:rFonts w:ascii="Times New Roman" w:hAnsi="Times New Roman" w:cs="Times New Roman"/>
          <w:sz w:val="24"/>
          <w:szCs w:val="24"/>
        </w:rPr>
        <w:t xml:space="preserve"> any possible deviations from share value maximization</w:t>
      </w:r>
      <w:r w:rsidR="00D76D0F">
        <w:rPr>
          <w:rFonts w:ascii="Times New Roman" w:hAnsi="Times New Roman" w:cs="Times New Roman"/>
          <w:sz w:val="24"/>
          <w:szCs w:val="24"/>
        </w:rPr>
        <w:t>,</w:t>
      </w:r>
      <w:r>
        <w:rPr>
          <w:rFonts w:ascii="Times New Roman" w:hAnsi="Times New Roman" w:cs="Times New Roman"/>
          <w:sz w:val="24"/>
          <w:szCs w:val="24"/>
        </w:rPr>
        <w:t xml:space="preserve"> </w:t>
      </w:r>
      <w:r w:rsidR="00D76D0F">
        <w:rPr>
          <w:rFonts w:ascii="Times New Roman" w:hAnsi="Times New Roman" w:cs="Times New Roman"/>
          <w:sz w:val="24"/>
          <w:szCs w:val="24"/>
        </w:rPr>
        <w:t>b</w:t>
      </w:r>
      <w:r>
        <w:rPr>
          <w:rFonts w:ascii="Times New Roman" w:hAnsi="Times New Roman" w:cs="Times New Roman"/>
          <w:sz w:val="24"/>
          <w:szCs w:val="24"/>
        </w:rPr>
        <w:t xml:space="preserve">ut when each investor decided what issuers’ shares to include in her portfolio, these preferences played no role. </w:t>
      </w:r>
      <w:r w:rsidR="00D76D0F">
        <w:rPr>
          <w:rFonts w:ascii="Times New Roman" w:hAnsi="Times New Roman" w:cs="Times New Roman"/>
          <w:sz w:val="24"/>
          <w:szCs w:val="24"/>
        </w:rPr>
        <w:t>Under this assumption, w</w:t>
      </w:r>
      <w:r w:rsidRPr="00D41EE3">
        <w:rPr>
          <w:rFonts w:ascii="Times New Roman" w:hAnsi="Times New Roman" w:cs="Times New Roman"/>
          <w:sz w:val="24"/>
          <w:szCs w:val="24"/>
        </w:rPr>
        <w:t>e addressed</w:t>
      </w:r>
      <w:r w:rsidR="00D76D0F">
        <w:rPr>
          <w:rFonts w:ascii="Times New Roman" w:hAnsi="Times New Roman" w:cs="Times New Roman"/>
          <w:sz w:val="24"/>
          <w:szCs w:val="24"/>
        </w:rPr>
        <w:t xml:space="preserve"> in Part II</w:t>
      </w:r>
      <w:r w:rsidRPr="00D41EE3">
        <w:rPr>
          <w:rFonts w:ascii="Times New Roman" w:hAnsi="Times New Roman" w:cs="Times New Roman"/>
          <w:sz w:val="24"/>
          <w:szCs w:val="24"/>
        </w:rPr>
        <w:t xml:space="preserve">, for each of </w:t>
      </w:r>
      <w:r w:rsidR="00D76D0F">
        <w:rPr>
          <w:rFonts w:ascii="Times New Roman" w:hAnsi="Times New Roman" w:cs="Times New Roman"/>
          <w:sz w:val="24"/>
          <w:szCs w:val="24"/>
        </w:rPr>
        <w:t xml:space="preserve">our </w:t>
      </w:r>
      <w:r>
        <w:rPr>
          <w:rFonts w:ascii="Times New Roman" w:hAnsi="Times New Roman" w:cs="Times New Roman"/>
          <w:sz w:val="24"/>
          <w:szCs w:val="24"/>
        </w:rPr>
        <w:t>three</w:t>
      </w:r>
      <w:r w:rsidRPr="00D41EE3">
        <w:rPr>
          <w:rFonts w:ascii="Times New Roman" w:hAnsi="Times New Roman" w:cs="Times New Roman"/>
          <w:sz w:val="24"/>
          <w:szCs w:val="24"/>
        </w:rPr>
        <w:t xml:space="preserve"> categories of shareholder preferences</w:t>
      </w:r>
      <w:r w:rsidR="00D76D0F">
        <w:rPr>
          <w:rFonts w:ascii="Times New Roman" w:hAnsi="Times New Roman" w:cs="Times New Roman"/>
          <w:sz w:val="24"/>
          <w:szCs w:val="24"/>
        </w:rPr>
        <w:t>,</w:t>
      </w:r>
      <w:r w:rsidRPr="00D41EE3">
        <w:rPr>
          <w:rFonts w:ascii="Times New Roman" w:hAnsi="Times New Roman" w:cs="Times New Roman"/>
          <w:sz w:val="24"/>
          <w:szCs w:val="24"/>
        </w:rPr>
        <w:t xml:space="preserve"> how</w:t>
      </w:r>
      <w:r>
        <w:rPr>
          <w:rFonts w:ascii="Times New Roman" w:hAnsi="Times New Roman" w:cs="Times New Roman"/>
          <w:sz w:val="24"/>
          <w:szCs w:val="24"/>
        </w:rPr>
        <w:t xml:space="preserve"> </w:t>
      </w:r>
      <w:r w:rsidRPr="00D41EE3">
        <w:rPr>
          <w:rFonts w:ascii="Times New Roman" w:hAnsi="Times New Roman" w:cs="Times New Roman"/>
          <w:sz w:val="24"/>
          <w:szCs w:val="24"/>
        </w:rPr>
        <w:t xml:space="preserve">differences among shareholders in </w:t>
      </w:r>
      <w:r w:rsidR="00D76D0F">
        <w:rPr>
          <w:rFonts w:ascii="Times New Roman" w:hAnsi="Times New Roman" w:cs="Times New Roman"/>
          <w:sz w:val="24"/>
          <w:szCs w:val="24"/>
        </w:rPr>
        <w:t xml:space="preserve">the way that </w:t>
      </w:r>
      <w:r w:rsidRPr="00D41EE3">
        <w:rPr>
          <w:rFonts w:ascii="Times New Roman" w:hAnsi="Times New Roman" w:cs="Times New Roman"/>
          <w:sz w:val="24"/>
          <w:szCs w:val="24"/>
        </w:rPr>
        <w:t xml:space="preserve">they want the firm to behave </w:t>
      </w:r>
      <w:r>
        <w:rPr>
          <w:rFonts w:ascii="Times New Roman" w:hAnsi="Times New Roman" w:cs="Times New Roman"/>
          <w:sz w:val="24"/>
          <w:szCs w:val="24"/>
        </w:rPr>
        <w:t xml:space="preserve">would </w:t>
      </w:r>
      <w:r w:rsidRPr="00D41EE3">
        <w:rPr>
          <w:rFonts w:ascii="Times New Roman" w:hAnsi="Times New Roman" w:cs="Times New Roman"/>
          <w:sz w:val="24"/>
          <w:szCs w:val="24"/>
        </w:rPr>
        <w:t>affect, if at all, the firm’s behavior</w:t>
      </w:r>
      <w:r w:rsidR="00796064">
        <w:rPr>
          <w:rFonts w:ascii="Times New Roman" w:hAnsi="Times New Roman" w:cs="Times New Roman"/>
          <w:sz w:val="24"/>
          <w:szCs w:val="24"/>
        </w:rPr>
        <w:t xml:space="preserve">. </w:t>
      </w:r>
    </w:p>
    <w:p w14:paraId="711333F4" w14:textId="00932C36" w:rsidR="00FC39EF" w:rsidRPr="00D41EE3" w:rsidRDefault="00FC39EF" w:rsidP="00FC39EF">
      <w:pPr>
        <w:spacing w:after="0" w:line="480" w:lineRule="auto"/>
        <w:ind w:right="90"/>
        <w:jc w:val="both"/>
        <w:rPr>
          <w:rFonts w:ascii="Times New Roman" w:hAnsi="Times New Roman" w:cs="Times New Roman"/>
          <w:sz w:val="24"/>
          <w:szCs w:val="24"/>
        </w:rPr>
      </w:pPr>
      <w:r w:rsidRPr="00D41EE3">
        <w:rPr>
          <w:rFonts w:ascii="Times New Roman" w:hAnsi="Times New Roman" w:cs="Times New Roman"/>
          <w:sz w:val="24"/>
          <w:szCs w:val="24"/>
        </w:rPr>
        <w:tab/>
        <w:t xml:space="preserve">As discussed </w:t>
      </w:r>
      <w:r w:rsidR="00D76D0F">
        <w:rPr>
          <w:rFonts w:ascii="Times New Roman" w:hAnsi="Times New Roman" w:cs="Times New Roman"/>
          <w:sz w:val="24"/>
          <w:szCs w:val="24"/>
        </w:rPr>
        <w:t xml:space="preserve">there, </w:t>
      </w:r>
      <w:r w:rsidRPr="00D41EE3">
        <w:rPr>
          <w:rFonts w:ascii="Times New Roman" w:hAnsi="Times New Roman" w:cs="Times New Roman"/>
          <w:sz w:val="24"/>
          <w:szCs w:val="24"/>
        </w:rPr>
        <w:t>it is perfectly easy to imagine a public corporation where the holders of a majority of its equity interests would, if they were fully informed, prefer that it refrain from</w:t>
      </w:r>
      <w:r w:rsidR="00D76D0F">
        <w:rPr>
          <w:rFonts w:ascii="Times New Roman" w:hAnsi="Times New Roman" w:cs="Times New Roman"/>
          <w:sz w:val="24"/>
          <w:szCs w:val="24"/>
        </w:rPr>
        <w:t>, or engage in,</w:t>
      </w:r>
      <w:r w:rsidRPr="00D41EE3">
        <w:rPr>
          <w:rFonts w:ascii="Times New Roman" w:hAnsi="Times New Roman" w:cs="Times New Roman"/>
          <w:sz w:val="24"/>
          <w:szCs w:val="24"/>
        </w:rPr>
        <w:t xml:space="preserve"> certain behaviors </w:t>
      </w:r>
      <w:r w:rsidR="00D76D0F">
        <w:rPr>
          <w:rFonts w:ascii="Times New Roman" w:hAnsi="Times New Roman" w:cs="Times New Roman"/>
          <w:sz w:val="24"/>
          <w:szCs w:val="24"/>
        </w:rPr>
        <w:t xml:space="preserve">even though this choice of </w:t>
      </w:r>
      <w:r w:rsidRPr="00D41EE3">
        <w:rPr>
          <w:rFonts w:ascii="Times New Roman" w:hAnsi="Times New Roman" w:cs="Times New Roman"/>
          <w:sz w:val="24"/>
          <w:szCs w:val="24"/>
        </w:rPr>
        <w:t xml:space="preserve">behaviors </w:t>
      </w:r>
      <w:r w:rsidR="00D76D0F">
        <w:rPr>
          <w:rFonts w:ascii="Times New Roman" w:hAnsi="Times New Roman" w:cs="Times New Roman"/>
          <w:sz w:val="24"/>
          <w:szCs w:val="24"/>
        </w:rPr>
        <w:t xml:space="preserve">is not the one that most </w:t>
      </w:r>
      <w:r w:rsidRPr="00D41EE3">
        <w:rPr>
          <w:rFonts w:ascii="Times New Roman" w:hAnsi="Times New Roman" w:cs="Times New Roman"/>
          <w:sz w:val="24"/>
          <w:szCs w:val="24"/>
        </w:rPr>
        <w:t>enhance</w:t>
      </w:r>
      <w:r w:rsidR="00D76D0F">
        <w:rPr>
          <w:rFonts w:ascii="Times New Roman" w:hAnsi="Times New Roman" w:cs="Times New Roman"/>
          <w:sz w:val="24"/>
          <w:szCs w:val="24"/>
        </w:rPr>
        <w:t>s</w:t>
      </w:r>
      <w:r w:rsidRPr="00D41EE3">
        <w:rPr>
          <w:rFonts w:ascii="Times New Roman" w:hAnsi="Times New Roman" w:cs="Times New Roman"/>
          <w:sz w:val="24"/>
          <w:szCs w:val="24"/>
        </w:rPr>
        <w:t xml:space="preserve"> the value of the firm’s shares</w:t>
      </w:r>
      <w:r w:rsidR="00796064">
        <w:rPr>
          <w:rFonts w:ascii="Times New Roman" w:hAnsi="Times New Roman" w:cs="Times New Roman"/>
          <w:sz w:val="24"/>
          <w:szCs w:val="24"/>
        </w:rPr>
        <w:t xml:space="preserve">. </w:t>
      </w:r>
      <w:r w:rsidRPr="00D41EE3">
        <w:rPr>
          <w:rFonts w:ascii="Times New Roman" w:hAnsi="Times New Roman" w:cs="Times New Roman"/>
          <w:sz w:val="24"/>
          <w:szCs w:val="24"/>
        </w:rPr>
        <w:t xml:space="preserve">Our conclusion, however, was that, with </w:t>
      </w:r>
      <w:r>
        <w:rPr>
          <w:rFonts w:ascii="Times New Roman" w:hAnsi="Times New Roman" w:cs="Times New Roman"/>
          <w:sz w:val="24"/>
          <w:szCs w:val="24"/>
        </w:rPr>
        <w:t xml:space="preserve">current </w:t>
      </w:r>
      <w:r w:rsidRPr="00D41EE3">
        <w:rPr>
          <w:rFonts w:ascii="Times New Roman" w:hAnsi="Times New Roman" w:cs="Times New Roman"/>
          <w:sz w:val="24"/>
          <w:szCs w:val="24"/>
        </w:rPr>
        <w:t xml:space="preserve">corporate </w:t>
      </w:r>
      <w:r w:rsidR="00BB10DE">
        <w:rPr>
          <w:rFonts w:ascii="Times New Roman" w:hAnsi="Times New Roman" w:cs="Times New Roman"/>
          <w:sz w:val="24"/>
          <w:szCs w:val="24"/>
        </w:rPr>
        <w:lastRenderedPageBreak/>
        <w:t>governance</w:t>
      </w:r>
      <w:r w:rsidRPr="00D41EE3">
        <w:rPr>
          <w:rFonts w:ascii="Times New Roman" w:hAnsi="Times New Roman" w:cs="Times New Roman"/>
          <w:sz w:val="24"/>
          <w:szCs w:val="24"/>
        </w:rPr>
        <w:t xml:space="preserve"> a</w:t>
      </w:r>
      <w:r>
        <w:rPr>
          <w:rFonts w:ascii="Times New Roman" w:hAnsi="Times New Roman" w:cs="Times New Roman"/>
          <w:sz w:val="24"/>
          <w:szCs w:val="24"/>
        </w:rPr>
        <w:t xml:space="preserve">rrangements, </w:t>
      </w:r>
      <w:r w:rsidRPr="00D41EE3">
        <w:rPr>
          <w:rFonts w:ascii="Times New Roman" w:hAnsi="Times New Roman" w:cs="Times New Roman"/>
          <w:sz w:val="24"/>
          <w:szCs w:val="24"/>
        </w:rPr>
        <w:t>the existence</w:t>
      </w:r>
      <w:r>
        <w:rPr>
          <w:rFonts w:ascii="Times New Roman" w:hAnsi="Times New Roman" w:cs="Times New Roman"/>
          <w:sz w:val="24"/>
          <w:szCs w:val="24"/>
        </w:rPr>
        <w:t xml:space="preserve"> of</w:t>
      </w:r>
      <w:r w:rsidRPr="00D41EE3">
        <w:rPr>
          <w:rFonts w:ascii="Times New Roman" w:hAnsi="Times New Roman" w:cs="Times New Roman"/>
          <w:sz w:val="24"/>
          <w:szCs w:val="24"/>
        </w:rPr>
        <w:t xml:space="preserve"> such equity holders (whether their preferences are only incipient or are actually activated by knowledge of the relevant facts) is unlikely to prompt a significant change in firm behavior</w:t>
      </w:r>
      <w:r w:rsidR="00796064">
        <w:rPr>
          <w:rFonts w:ascii="Times New Roman" w:hAnsi="Times New Roman" w:cs="Times New Roman"/>
          <w:sz w:val="24"/>
          <w:szCs w:val="24"/>
        </w:rPr>
        <w:t xml:space="preserve">. </w:t>
      </w:r>
      <w:r w:rsidRPr="00D41EE3">
        <w:rPr>
          <w:rFonts w:ascii="Times New Roman" w:hAnsi="Times New Roman" w:cs="Times New Roman"/>
          <w:sz w:val="24"/>
          <w:szCs w:val="24"/>
        </w:rPr>
        <w:t>For one thing, it is unlikely to result in the election of directors who pledge to act on these preferences. And, with possibly small exceptions, it is unlikely to change the structure of incentives in which the managers make their decisions, a conclusion based on a review of all the components of our system of corporate governance that shape this structure of incentives</w:t>
      </w:r>
      <w:r w:rsidR="00796064">
        <w:rPr>
          <w:rFonts w:ascii="Times New Roman" w:hAnsi="Times New Roman" w:cs="Times New Roman"/>
          <w:sz w:val="24"/>
          <w:szCs w:val="24"/>
        </w:rPr>
        <w:t xml:space="preserve">. </w:t>
      </w:r>
      <w:r w:rsidRPr="00D41EE3">
        <w:rPr>
          <w:rFonts w:ascii="Times New Roman" w:hAnsi="Times New Roman" w:cs="Times New Roman"/>
          <w:sz w:val="24"/>
          <w:szCs w:val="24"/>
        </w:rPr>
        <w:t>Firm managers can be expected as a general matter to remain as focused on share value maximization as if, as has been traditionally assumed, shareholders in fact had homogenous preferences in favor of solely pursuing that goal</w:t>
      </w:r>
      <w:r w:rsidR="00796064">
        <w:rPr>
          <w:rFonts w:ascii="Times New Roman" w:hAnsi="Times New Roman" w:cs="Times New Roman"/>
          <w:sz w:val="24"/>
          <w:szCs w:val="24"/>
        </w:rPr>
        <w:t xml:space="preserve">. </w:t>
      </w:r>
      <w:r w:rsidR="00D76D0F">
        <w:rPr>
          <w:rFonts w:ascii="Times New Roman" w:hAnsi="Times New Roman" w:cs="Times New Roman"/>
          <w:sz w:val="24"/>
          <w:szCs w:val="24"/>
        </w:rPr>
        <w:t>Current corporate governance arrangements could be changed to allow for a broadening of the shareholder mandate</w:t>
      </w:r>
      <w:r w:rsidR="00297B5B">
        <w:rPr>
          <w:rFonts w:ascii="Times New Roman" w:hAnsi="Times New Roman" w:cs="Times New Roman"/>
          <w:sz w:val="24"/>
          <w:szCs w:val="24"/>
        </w:rPr>
        <w:t xml:space="preserve">, but the energy and resources necessary to make the parallel set of private political systems work involves its own set of problems that likely either doom the reform from significantly achieving its aims or undermine effective first-best public regulation. </w:t>
      </w:r>
    </w:p>
    <w:p w14:paraId="08BCFF0C" w14:textId="4D58A9F0" w:rsidR="00FC39EF" w:rsidRDefault="00FC39EF" w:rsidP="00FC39EF">
      <w:pPr>
        <w:spacing w:after="0" w:line="480" w:lineRule="auto"/>
        <w:ind w:right="90" w:firstLine="720"/>
        <w:jc w:val="both"/>
        <w:rPr>
          <w:rFonts w:ascii="Times New Roman" w:hAnsi="Times New Roman" w:cs="Times New Roman"/>
          <w:sz w:val="24"/>
          <w:szCs w:val="24"/>
        </w:rPr>
      </w:pPr>
      <w:r>
        <w:rPr>
          <w:rFonts w:ascii="Times New Roman" w:hAnsi="Times New Roman" w:cs="Times New Roman"/>
          <w:sz w:val="24"/>
          <w:szCs w:val="24"/>
        </w:rPr>
        <w:t xml:space="preserve">In this Part, we conduct the second stage of our analysis and relax the assumption that each public firm’s </w:t>
      </w:r>
      <w:r w:rsidRPr="00D41EE3">
        <w:rPr>
          <w:rFonts w:ascii="Times New Roman" w:hAnsi="Times New Roman" w:cs="Times New Roman"/>
          <w:sz w:val="24"/>
          <w:szCs w:val="24"/>
        </w:rPr>
        <w:t xml:space="preserve">shareholder makeup </w:t>
      </w:r>
      <w:r>
        <w:rPr>
          <w:rFonts w:ascii="Times New Roman" w:hAnsi="Times New Roman" w:cs="Times New Roman"/>
          <w:sz w:val="24"/>
          <w:szCs w:val="24"/>
        </w:rPr>
        <w:t xml:space="preserve">by preference </w:t>
      </w:r>
      <w:r w:rsidRPr="00D41EE3">
        <w:rPr>
          <w:rFonts w:ascii="Times New Roman" w:hAnsi="Times New Roman" w:cs="Times New Roman"/>
          <w:sz w:val="24"/>
          <w:szCs w:val="24"/>
        </w:rPr>
        <w:t>is fixed</w:t>
      </w:r>
      <w:r w:rsidR="00796064">
        <w:rPr>
          <w:rFonts w:ascii="Times New Roman" w:hAnsi="Times New Roman" w:cs="Times New Roman"/>
          <w:sz w:val="24"/>
          <w:szCs w:val="24"/>
        </w:rPr>
        <w:t xml:space="preserve">. </w:t>
      </w:r>
      <w:r w:rsidRPr="00D41EE3">
        <w:rPr>
          <w:rFonts w:ascii="Times New Roman" w:hAnsi="Times New Roman" w:cs="Times New Roman"/>
          <w:sz w:val="24"/>
          <w:szCs w:val="24"/>
        </w:rPr>
        <w:t xml:space="preserve">This </w:t>
      </w:r>
      <w:r>
        <w:rPr>
          <w:rFonts w:ascii="Times New Roman" w:hAnsi="Times New Roman" w:cs="Times New Roman"/>
          <w:sz w:val="24"/>
          <w:szCs w:val="24"/>
        </w:rPr>
        <w:t>second step is</w:t>
      </w:r>
      <w:r w:rsidRPr="00D41EE3">
        <w:rPr>
          <w:rFonts w:ascii="Times New Roman" w:hAnsi="Times New Roman" w:cs="Times New Roman"/>
          <w:sz w:val="24"/>
          <w:szCs w:val="24"/>
        </w:rPr>
        <w:t xml:space="preserve"> necessary because, contrary to the assumption in Part II, </w:t>
      </w:r>
      <w:r>
        <w:rPr>
          <w:rFonts w:ascii="Times New Roman" w:hAnsi="Times New Roman" w:cs="Times New Roman"/>
          <w:sz w:val="24"/>
          <w:szCs w:val="24"/>
        </w:rPr>
        <w:t xml:space="preserve">the economy’s equity holders </w:t>
      </w:r>
      <w:r w:rsidRPr="00D41EE3">
        <w:rPr>
          <w:rFonts w:ascii="Times New Roman" w:hAnsi="Times New Roman" w:cs="Times New Roman"/>
          <w:sz w:val="24"/>
          <w:szCs w:val="24"/>
        </w:rPr>
        <w:t>are not locked</w:t>
      </w:r>
      <w:r>
        <w:rPr>
          <w:rFonts w:ascii="Times New Roman" w:hAnsi="Times New Roman" w:cs="Times New Roman"/>
          <w:sz w:val="24"/>
          <w:szCs w:val="24"/>
        </w:rPr>
        <w:t xml:space="preserve"> </w:t>
      </w:r>
      <w:r w:rsidRPr="00D41EE3">
        <w:rPr>
          <w:rFonts w:ascii="Times New Roman" w:hAnsi="Times New Roman" w:cs="Times New Roman"/>
          <w:sz w:val="24"/>
          <w:szCs w:val="24"/>
        </w:rPr>
        <w:t>in to the companies in which they are invested</w:t>
      </w:r>
      <w:r>
        <w:rPr>
          <w:rFonts w:ascii="Times New Roman" w:hAnsi="Times New Roman" w:cs="Times New Roman"/>
          <w:sz w:val="24"/>
          <w:szCs w:val="24"/>
        </w:rPr>
        <w:t>. S</w:t>
      </w:r>
      <w:r w:rsidRPr="00D41EE3">
        <w:rPr>
          <w:rFonts w:ascii="Times New Roman" w:hAnsi="Times New Roman" w:cs="Times New Roman"/>
          <w:sz w:val="24"/>
          <w:szCs w:val="24"/>
        </w:rPr>
        <w:t>ome of the</w:t>
      </w:r>
      <w:r>
        <w:rPr>
          <w:rFonts w:ascii="Times New Roman" w:hAnsi="Times New Roman" w:cs="Times New Roman"/>
          <w:sz w:val="24"/>
          <w:szCs w:val="24"/>
        </w:rPr>
        <w:t xml:space="preserve">se </w:t>
      </w:r>
      <w:r w:rsidRPr="00D41EE3">
        <w:rPr>
          <w:rFonts w:ascii="Times New Roman" w:hAnsi="Times New Roman" w:cs="Times New Roman"/>
          <w:sz w:val="24"/>
          <w:szCs w:val="24"/>
        </w:rPr>
        <w:t xml:space="preserve">equity holders in fact clearly do sort themselves </w:t>
      </w:r>
      <w:r>
        <w:rPr>
          <w:rFonts w:ascii="Times New Roman" w:hAnsi="Times New Roman" w:cs="Times New Roman"/>
          <w:sz w:val="24"/>
          <w:szCs w:val="24"/>
        </w:rPr>
        <w:t xml:space="preserve">according to their preferences and prefer to be invested in firms </w:t>
      </w:r>
      <w:r w:rsidRPr="00D41EE3">
        <w:rPr>
          <w:rFonts w:ascii="Times New Roman" w:hAnsi="Times New Roman" w:cs="Times New Roman"/>
          <w:sz w:val="24"/>
          <w:szCs w:val="24"/>
        </w:rPr>
        <w:t xml:space="preserve">that further </w:t>
      </w:r>
      <w:r>
        <w:rPr>
          <w:rFonts w:ascii="Times New Roman" w:hAnsi="Times New Roman" w:cs="Times New Roman"/>
          <w:sz w:val="24"/>
          <w:szCs w:val="24"/>
        </w:rPr>
        <w:t xml:space="preserve">certain </w:t>
      </w:r>
      <w:r w:rsidRPr="00D41EE3">
        <w:rPr>
          <w:rFonts w:ascii="Times New Roman" w:hAnsi="Times New Roman" w:cs="Times New Roman"/>
          <w:sz w:val="24"/>
          <w:szCs w:val="24"/>
        </w:rPr>
        <w:t>ends</w:t>
      </w:r>
      <w:r>
        <w:rPr>
          <w:rFonts w:ascii="Times New Roman" w:hAnsi="Times New Roman" w:cs="Times New Roman"/>
          <w:sz w:val="24"/>
          <w:szCs w:val="24"/>
        </w:rPr>
        <w:t>, particularly social ones,</w:t>
      </w:r>
      <w:r w:rsidRPr="00D41EE3">
        <w:rPr>
          <w:rFonts w:ascii="Times New Roman" w:hAnsi="Times New Roman" w:cs="Times New Roman"/>
          <w:sz w:val="24"/>
          <w:szCs w:val="24"/>
        </w:rPr>
        <w:t xml:space="preserve"> </w:t>
      </w:r>
      <w:r>
        <w:rPr>
          <w:rFonts w:ascii="Times New Roman" w:hAnsi="Times New Roman" w:cs="Times New Roman"/>
          <w:sz w:val="24"/>
          <w:szCs w:val="24"/>
        </w:rPr>
        <w:t>even though doing so reduces the firms’ cash flows</w:t>
      </w:r>
      <w:r w:rsidR="00297B5B">
        <w:rPr>
          <w:rFonts w:ascii="Times New Roman" w:hAnsi="Times New Roman" w:cs="Times New Roman"/>
          <w:sz w:val="24"/>
          <w:szCs w:val="24"/>
        </w:rPr>
        <w:t>, or at least avoid firms, such</w:t>
      </w:r>
      <w:r w:rsidR="00C82881">
        <w:rPr>
          <w:rFonts w:ascii="Times New Roman" w:hAnsi="Times New Roman" w:cs="Times New Roman"/>
          <w:sz w:val="24"/>
          <w:szCs w:val="24"/>
        </w:rPr>
        <w:t xml:space="preserve"> those in</w:t>
      </w:r>
      <w:r w:rsidR="00297B5B">
        <w:rPr>
          <w:rFonts w:ascii="Times New Roman" w:hAnsi="Times New Roman" w:cs="Times New Roman"/>
          <w:sz w:val="24"/>
          <w:szCs w:val="24"/>
        </w:rPr>
        <w:t xml:space="preserve"> </w:t>
      </w:r>
      <w:r w:rsidR="00C82881">
        <w:rPr>
          <w:rFonts w:ascii="Times New Roman" w:hAnsi="Times New Roman" w:cs="Times New Roman"/>
          <w:sz w:val="24"/>
          <w:szCs w:val="24"/>
        </w:rPr>
        <w:t xml:space="preserve">the </w:t>
      </w:r>
      <w:r w:rsidR="00297B5B">
        <w:rPr>
          <w:rFonts w:ascii="Times New Roman" w:hAnsi="Times New Roman" w:cs="Times New Roman"/>
          <w:sz w:val="24"/>
          <w:szCs w:val="24"/>
        </w:rPr>
        <w:t>oil, gas</w:t>
      </w:r>
      <w:r w:rsidR="00C82881">
        <w:rPr>
          <w:rFonts w:ascii="Times New Roman" w:hAnsi="Times New Roman" w:cs="Times New Roman"/>
          <w:sz w:val="24"/>
          <w:szCs w:val="24"/>
        </w:rPr>
        <w:t>,</w:t>
      </w:r>
      <w:r w:rsidR="00297B5B">
        <w:rPr>
          <w:rFonts w:ascii="Times New Roman" w:hAnsi="Times New Roman" w:cs="Times New Roman"/>
          <w:sz w:val="24"/>
          <w:szCs w:val="24"/>
        </w:rPr>
        <w:t xml:space="preserve"> and coal</w:t>
      </w:r>
      <w:r w:rsidR="00C82881">
        <w:rPr>
          <w:rFonts w:ascii="Times New Roman" w:hAnsi="Times New Roman" w:cs="Times New Roman"/>
          <w:sz w:val="24"/>
          <w:szCs w:val="24"/>
        </w:rPr>
        <w:t xml:space="preserve"> industries</w:t>
      </w:r>
      <w:r w:rsidR="00297B5B">
        <w:rPr>
          <w:rFonts w:ascii="Times New Roman" w:hAnsi="Times New Roman" w:cs="Times New Roman"/>
          <w:sz w:val="24"/>
          <w:szCs w:val="24"/>
        </w:rPr>
        <w:t>, whose share-value-maximizing behavior leads to negative externalities that concern them</w:t>
      </w:r>
      <w:r w:rsidR="00796064">
        <w:rPr>
          <w:rFonts w:ascii="Times New Roman" w:hAnsi="Times New Roman" w:cs="Times New Roman"/>
          <w:sz w:val="24"/>
          <w:szCs w:val="24"/>
        </w:rPr>
        <w:t xml:space="preserve">. </w:t>
      </w:r>
      <w:r w:rsidRPr="00D41EE3">
        <w:rPr>
          <w:rFonts w:ascii="Times New Roman" w:hAnsi="Times New Roman" w:cs="Times New Roman"/>
          <w:sz w:val="24"/>
          <w:szCs w:val="24"/>
        </w:rPr>
        <w:t xml:space="preserve">In recent years, “green” and other socially oriented funds have attracted a meaningful portion of the total market, and it is very possible that </w:t>
      </w:r>
      <w:r w:rsidRPr="00D41EE3">
        <w:rPr>
          <w:rFonts w:ascii="Times New Roman" w:hAnsi="Times New Roman" w:cs="Times New Roman"/>
          <w:sz w:val="24"/>
          <w:szCs w:val="24"/>
        </w:rPr>
        <w:lastRenderedPageBreak/>
        <w:t>this phenomenon will grow in the future.</w:t>
      </w:r>
      <w:r w:rsidRPr="00D41EE3">
        <w:rPr>
          <w:rStyle w:val="FootnoteReference"/>
          <w:rFonts w:ascii="Times New Roman" w:hAnsi="Times New Roman" w:cs="Times New Roman"/>
          <w:sz w:val="24"/>
          <w:szCs w:val="24"/>
        </w:rPr>
        <w:footnoteReference w:id="79"/>
      </w:r>
      <w:r w:rsidRPr="00D41EE3">
        <w:rPr>
          <w:rFonts w:ascii="Times New Roman" w:hAnsi="Times New Roman" w:cs="Times New Roman"/>
          <w:sz w:val="24"/>
          <w:szCs w:val="24"/>
        </w:rPr>
        <w:t xml:space="preserve"> Moreover, many institutional investors such as universities, other endowed nonprofits, and public pension funds have enunciated social criteria that help shape the content of their portfolios.</w:t>
      </w:r>
    </w:p>
    <w:p w14:paraId="559115F2" w14:textId="5F6106E5" w:rsidR="00FC39EF" w:rsidRPr="00D41EE3" w:rsidRDefault="00FC39EF" w:rsidP="00FC39EF">
      <w:pPr>
        <w:spacing w:after="0" w:line="480" w:lineRule="auto"/>
        <w:ind w:right="90" w:firstLine="720"/>
        <w:jc w:val="both"/>
        <w:rPr>
          <w:rFonts w:ascii="Times New Roman" w:hAnsi="Times New Roman" w:cs="Times New Roman"/>
          <w:sz w:val="24"/>
          <w:szCs w:val="24"/>
        </w:rPr>
      </w:pPr>
      <w:r>
        <w:rPr>
          <w:rFonts w:ascii="Times New Roman" w:hAnsi="Times New Roman" w:cs="Times New Roman"/>
          <w:sz w:val="24"/>
          <w:szCs w:val="24"/>
        </w:rPr>
        <w:t xml:space="preserve">A firm’s shareholder base </w:t>
      </w:r>
      <w:r w:rsidR="00297B5B">
        <w:rPr>
          <w:rFonts w:ascii="Times New Roman" w:hAnsi="Times New Roman" w:cs="Times New Roman"/>
          <w:sz w:val="24"/>
          <w:szCs w:val="24"/>
        </w:rPr>
        <w:t xml:space="preserve">is </w:t>
      </w:r>
      <w:r>
        <w:rPr>
          <w:rFonts w:ascii="Times New Roman" w:hAnsi="Times New Roman" w:cs="Times New Roman"/>
          <w:sz w:val="24"/>
          <w:szCs w:val="24"/>
        </w:rPr>
        <w:t xml:space="preserve">therefore not immutable as stipulated in Part II, but instead will be shaped in part by the firm’s </w:t>
      </w:r>
      <w:r w:rsidRPr="00D41EE3">
        <w:rPr>
          <w:rFonts w:ascii="Times New Roman" w:hAnsi="Times New Roman" w:cs="Times New Roman"/>
          <w:sz w:val="24"/>
          <w:szCs w:val="24"/>
        </w:rPr>
        <w:t xml:space="preserve">expected behavior </w:t>
      </w:r>
      <w:r>
        <w:rPr>
          <w:rFonts w:ascii="Times New Roman" w:hAnsi="Times New Roman" w:cs="Times New Roman"/>
          <w:sz w:val="24"/>
          <w:szCs w:val="24"/>
        </w:rPr>
        <w:t>and how that behavior aligns with investor preferences. T</w:t>
      </w:r>
      <w:r w:rsidRPr="00D41EE3">
        <w:rPr>
          <w:rFonts w:ascii="Times New Roman" w:hAnsi="Times New Roman" w:cs="Times New Roman"/>
          <w:sz w:val="24"/>
          <w:szCs w:val="24"/>
        </w:rPr>
        <w:t>his</w:t>
      </w:r>
      <w:r>
        <w:rPr>
          <w:rFonts w:ascii="Times New Roman" w:hAnsi="Times New Roman" w:cs="Times New Roman"/>
          <w:sz w:val="24"/>
          <w:szCs w:val="24"/>
        </w:rPr>
        <w:t xml:space="preserve"> additional feature of the analysis requires us to examine what </w:t>
      </w:r>
      <w:r w:rsidRPr="00D41EE3">
        <w:rPr>
          <w:rFonts w:ascii="Times New Roman" w:hAnsi="Times New Roman" w:cs="Times New Roman"/>
          <w:sz w:val="24"/>
          <w:szCs w:val="24"/>
        </w:rPr>
        <w:t>consequences</w:t>
      </w:r>
      <w:r>
        <w:rPr>
          <w:rFonts w:ascii="Times New Roman" w:hAnsi="Times New Roman" w:cs="Times New Roman"/>
          <w:sz w:val="24"/>
          <w:szCs w:val="24"/>
        </w:rPr>
        <w:t xml:space="preserve">, if any, an endogenous shareholder base has on (i) </w:t>
      </w:r>
      <w:r w:rsidRPr="00D41EE3">
        <w:rPr>
          <w:rFonts w:ascii="Times New Roman" w:hAnsi="Times New Roman" w:cs="Times New Roman"/>
          <w:sz w:val="24"/>
          <w:szCs w:val="24"/>
        </w:rPr>
        <w:t xml:space="preserve">what agenda will get persons elected as the directors of each of the economy’s public firms, and </w:t>
      </w:r>
      <w:r>
        <w:rPr>
          <w:rFonts w:ascii="Times New Roman" w:hAnsi="Times New Roman" w:cs="Times New Roman"/>
          <w:sz w:val="24"/>
          <w:szCs w:val="24"/>
        </w:rPr>
        <w:t xml:space="preserve">(ii) </w:t>
      </w:r>
      <w:r w:rsidRPr="00D41EE3">
        <w:rPr>
          <w:rFonts w:ascii="Times New Roman" w:hAnsi="Times New Roman" w:cs="Times New Roman"/>
          <w:sz w:val="24"/>
          <w:szCs w:val="24"/>
        </w:rPr>
        <w:t>the prices at which the shares of these corporation’s trade</w:t>
      </w:r>
      <w:r w:rsidR="00796064">
        <w:rPr>
          <w:rFonts w:ascii="Times New Roman" w:hAnsi="Times New Roman" w:cs="Times New Roman"/>
          <w:sz w:val="24"/>
          <w:szCs w:val="24"/>
        </w:rPr>
        <w:t xml:space="preserve">. </w:t>
      </w:r>
      <w:r>
        <w:rPr>
          <w:rFonts w:ascii="Times New Roman" w:hAnsi="Times New Roman" w:cs="Times New Roman"/>
          <w:sz w:val="24"/>
          <w:szCs w:val="24"/>
        </w:rPr>
        <w:t xml:space="preserve">Changes with regard to either of these factors </w:t>
      </w:r>
      <w:r w:rsidRPr="00D41EE3">
        <w:rPr>
          <w:rFonts w:ascii="Times New Roman" w:hAnsi="Times New Roman" w:cs="Times New Roman"/>
          <w:sz w:val="24"/>
          <w:szCs w:val="24"/>
        </w:rPr>
        <w:t xml:space="preserve">can affect </w:t>
      </w:r>
      <w:r w:rsidR="00C82881">
        <w:rPr>
          <w:rFonts w:ascii="Times New Roman" w:hAnsi="Times New Roman" w:cs="Times New Roman"/>
          <w:sz w:val="24"/>
          <w:szCs w:val="24"/>
        </w:rPr>
        <w:t xml:space="preserve">managerial incentives </w:t>
      </w:r>
      <w:r>
        <w:rPr>
          <w:rFonts w:ascii="Times New Roman" w:hAnsi="Times New Roman" w:cs="Times New Roman"/>
          <w:sz w:val="24"/>
          <w:szCs w:val="24"/>
        </w:rPr>
        <w:t>and in turn managerial decision-making and the behavior of a firm</w:t>
      </w:r>
      <w:r w:rsidR="00796064">
        <w:rPr>
          <w:rFonts w:ascii="Times New Roman" w:hAnsi="Times New Roman" w:cs="Times New Roman"/>
          <w:sz w:val="24"/>
          <w:szCs w:val="24"/>
        </w:rPr>
        <w:t xml:space="preserve">. </w:t>
      </w:r>
      <w:r>
        <w:rPr>
          <w:rFonts w:ascii="Times New Roman" w:hAnsi="Times New Roman" w:cs="Times New Roman"/>
          <w:sz w:val="24"/>
          <w:szCs w:val="24"/>
        </w:rPr>
        <w:t xml:space="preserve">This examination involves both the positive exercise of considering the consequences of these complications under existing corporate governance arrangements and the normative exercise of considering whether </w:t>
      </w:r>
      <w:r w:rsidR="00142246">
        <w:rPr>
          <w:rFonts w:ascii="Times New Roman" w:hAnsi="Times New Roman" w:cs="Times New Roman"/>
          <w:sz w:val="24"/>
          <w:szCs w:val="24"/>
        </w:rPr>
        <w:t xml:space="preserve">proposed </w:t>
      </w:r>
      <w:r>
        <w:rPr>
          <w:rFonts w:ascii="Times New Roman" w:hAnsi="Times New Roman" w:cs="Times New Roman"/>
          <w:sz w:val="24"/>
          <w:szCs w:val="24"/>
        </w:rPr>
        <w:t>changes in such arrangements</w:t>
      </w:r>
      <w:r w:rsidR="00142246">
        <w:rPr>
          <w:rFonts w:ascii="Times New Roman" w:hAnsi="Times New Roman" w:cs="Times New Roman"/>
          <w:sz w:val="24"/>
          <w:szCs w:val="24"/>
        </w:rPr>
        <w:t xml:space="preserve"> </w:t>
      </w:r>
      <w:r>
        <w:rPr>
          <w:rFonts w:ascii="Times New Roman" w:hAnsi="Times New Roman" w:cs="Times New Roman"/>
          <w:sz w:val="24"/>
          <w:szCs w:val="24"/>
        </w:rPr>
        <w:t>would alter these consequences and if so whether the reforms would desirable.</w:t>
      </w:r>
      <w:r w:rsidR="00C82881">
        <w:rPr>
          <w:rFonts w:ascii="Times New Roman" w:hAnsi="Times New Roman" w:cs="Times New Roman"/>
          <w:sz w:val="24"/>
          <w:szCs w:val="24"/>
        </w:rPr>
        <w:t xml:space="preserve"> We conduct that analysis below. For brevity of exposition, we focus on the circumstance in which profit sacrificers’ preferences fall within one of the first two of the three categories of preferences described in Part I and so those investors’ reasons for wanting a deviation from share value maximization is because of some social consequence of firms’ behavior, either because of a market imperfection or a distributional consideration, or both.</w:t>
      </w:r>
      <w:r w:rsidR="00C82881">
        <w:rPr>
          <w:rStyle w:val="FootnoteReference"/>
          <w:rFonts w:ascii="Times New Roman" w:hAnsi="Times New Roman" w:cs="Times New Roman"/>
          <w:sz w:val="24"/>
          <w:szCs w:val="24"/>
        </w:rPr>
        <w:footnoteReference w:id="80"/>
      </w:r>
      <w:r w:rsidR="00C82881">
        <w:rPr>
          <w:rFonts w:ascii="Times New Roman" w:hAnsi="Times New Roman" w:cs="Times New Roman"/>
          <w:sz w:val="24"/>
          <w:szCs w:val="24"/>
        </w:rPr>
        <w:t xml:space="preserve"> </w:t>
      </w:r>
    </w:p>
    <w:p w14:paraId="3FDBBFB4" w14:textId="77777777" w:rsidR="00FC39EF" w:rsidRPr="0053443A" w:rsidRDefault="00FC39EF" w:rsidP="00FC39EF">
      <w:pPr>
        <w:spacing w:line="480" w:lineRule="auto"/>
        <w:jc w:val="center"/>
        <w:rPr>
          <w:rFonts w:ascii="Times New Roman" w:hAnsi="Times New Roman" w:cs="Times New Roman"/>
          <w:i/>
          <w:sz w:val="24"/>
          <w:szCs w:val="24"/>
        </w:rPr>
      </w:pPr>
      <w:r>
        <w:rPr>
          <w:rFonts w:ascii="Times New Roman" w:hAnsi="Times New Roman" w:cs="Times New Roman"/>
          <w:i/>
          <w:sz w:val="24"/>
          <w:szCs w:val="24"/>
        </w:rPr>
        <w:t>A. Different Types of Investing</w:t>
      </w:r>
    </w:p>
    <w:p w14:paraId="6C5636E7" w14:textId="0CA50FE4" w:rsidR="00FC39EF" w:rsidRDefault="00FC39EF" w:rsidP="00C3407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Each corporation has a body of shareholders who have potentially differing preferences concerning the social consequences of its behavior</w:t>
      </w:r>
      <w:r w:rsidR="00796064">
        <w:rPr>
          <w:rFonts w:ascii="Times New Roman" w:hAnsi="Times New Roman" w:cs="Times New Roman"/>
          <w:sz w:val="24"/>
          <w:szCs w:val="24"/>
        </w:rPr>
        <w:t xml:space="preserve">. </w:t>
      </w:r>
      <w:r>
        <w:rPr>
          <w:rFonts w:ascii="Times New Roman" w:hAnsi="Times New Roman" w:cs="Times New Roman"/>
          <w:sz w:val="24"/>
          <w:szCs w:val="24"/>
        </w:rPr>
        <w:t xml:space="preserve">In Part II, we assumed that any difference in </w:t>
      </w:r>
      <w:r>
        <w:rPr>
          <w:rFonts w:ascii="Times New Roman" w:hAnsi="Times New Roman" w:cs="Times New Roman"/>
          <w:sz w:val="24"/>
          <w:szCs w:val="24"/>
        </w:rPr>
        <w:lastRenderedPageBreak/>
        <w:t>the composition by preference of its shareholder body from the composition by preference of equity investors in general is due to chance</w:t>
      </w:r>
      <w:r w:rsidR="00796064">
        <w:rPr>
          <w:rFonts w:ascii="Times New Roman" w:hAnsi="Times New Roman" w:cs="Times New Roman"/>
          <w:sz w:val="24"/>
          <w:szCs w:val="24"/>
        </w:rPr>
        <w:t xml:space="preserve">. </w:t>
      </w:r>
      <w:r>
        <w:rPr>
          <w:rFonts w:ascii="Times New Roman" w:hAnsi="Times New Roman" w:cs="Times New Roman"/>
          <w:sz w:val="24"/>
          <w:szCs w:val="24"/>
        </w:rPr>
        <w:t>In other words, in Part II, each equity investor or her delegee was assumed to compose her portfolio without regard to the social consequences of the behavior of the corporations chosen</w:t>
      </w:r>
      <w:r w:rsidR="00796064">
        <w:rPr>
          <w:rFonts w:ascii="Times New Roman" w:hAnsi="Times New Roman" w:cs="Times New Roman"/>
          <w:sz w:val="24"/>
          <w:szCs w:val="24"/>
        </w:rPr>
        <w:t xml:space="preserve">. </w:t>
      </w:r>
    </w:p>
    <w:p w14:paraId="428525F1" w14:textId="6C00E085" w:rsidR="00FC39EF" w:rsidRDefault="00FC39EF" w:rsidP="00C3407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In this Part III, we add nuance to the analysis and subdivide equity investing into three types: “unconstrained investing,” “identity investing</w:t>
      </w:r>
      <w:r w:rsidR="00E56787">
        <w:rPr>
          <w:rFonts w:ascii="Times New Roman" w:hAnsi="Times New Roman" w:cs="Times New Roman"/>
          <w:sz w:val="24"/>
          <w:szCs w:val="24"/>
        </w:rPr>
        <w:t>,</w:t>
      </w:r>
      <w:r>
        <w:rPr>
          <w:rFonts w:ascii="Times New Roman" w:hAnsi="Times New Roman" w:cs="Times New Roman"/>
          <w:sz w:val="24"/>
          <w:szCs w:val="24"/>
        </w:rPr>
        <w:t>” and “transformative investing.” We believe these three types span the universe of equity investing in terms of the relationship between the views of an investor concerning the social impact of a corporation’s behavior and the presence or absence this corporation’s shares in her portfolio</w:t>
      </w:r>
      <w:r w:rsidR="00796064">
        <w:rPr>
          <w:rFonts w:ascii="Times New Roman" w:hAnsi="Times New Roman" w:cs="Times New Roman"/>
          <w:sz w:val="24"/>
          <w:szCs w:val="24"/>
        </w:rPr>
        <w:t xml:space="preserve">. </w:t>
      </w:r>
      <w:r>
        <w:rPr>
          <w:rFonts w:ascii="Times New Roman" w:hAnsi="Times New Roman" w:cs="Times New Roman"/>
          <w:sz w:val="24"/>
          <w:szCs w:val="24"/>
        </w:rPr>
        <w:t xml:space="preserve">The latter two types, it will be seen, allow for the possibility, assumed away in Part II, of sorting among public companies in terms of the preferences of their shareholders with regard to the social consequences of their behavior. </w:t>
      </w:r>
    </w:p>
    <w:p w14:paraId="090D694B" w14:textId="68E1D5FC" w:rsidR="00FC39EF" w:rsidRDefault="00FC39EF" w:rsidP="00C34077">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w:t>
      </w:r>
      <w:r w:rsidR="005010AC">
        <w:rPr>
          <w:rFonts w:ascii="Times New Roman" w:hAnsi="Times New Roman" w:cs="Times New Roman"/>
          <w:sz w:val="24"/>
          <w:szCs w:val="24"/>
        </w:rPr>
        <w:t xml:space="preserve">  </w:t>
      </w:r>
      <w:r>
        <w:rPr>
          <w:rFonts w:ascii="Times New Roman" w:hAnsi="Times New Roman" w:cs="Times New Roman"/>
          <w:i/>
          <w:sz w:val="24"/>
          <w:szCs w:val="24"/>
        </w:rPr>
        <w:t xml:space="preserve">Unconstrained investing. </w:t>
      </w:r>
      <w:r>
        <w:rPr>
          <w:rFonts w:ascii="Times New Roman" w:hAnsi="Times New Roman" w:cs="Times New Roman"/>
          <w:sz w:val="24"/>
          <w:szCs w:val="24"/>
        </w:rPr>
        <w:t>The unconstrained investor conforms to the assumptions of Part II and composes her portfolio without regard to the social consequences of the behavior of the corporations chosen</w:t>
      </w:r>
      <w:r w:rsidR="00796064">
        <w:rPr>
          <w:rFonts w:ascii="Times New Roman" w:hAnsi="Times New Roman" w:cs="Times New Roman"/>
          <w:sz w:val="24"/>
          <w:szCs w:val="24"/>
        </w:rPr>
        <w:t xml:space="preserve">. </w:t>
      </w:r>
      <w:r>
        <w:rPr>
          <w:rFonts w:ascii="Times New Roman" w:hAnsi="Times New Roman" w:cs="Times New Roman"/>
          <w:sz w:val="24"/>
          <w:szCs w:val="24"/>
        </w:rPr>
        <w:t>Such an investor may well have preferences as to how the corporations in which she is invested behave and in certain cases</w:t>
      </w:r>
      <w:r w:rsidR="004D59A8">
        <w:rPr>
          <w:rFonts w:ascii="Times New Roman" w:hAnsi="Times New Roman" w:cs="Times New Roman"/>
          <w:sz w:val="24"/>
          <w:szCs w:val="24"/>
        </w:rPr>
        <w:t>, at least if fully informed,</w:t>
      </w:r>
      <w:r>
        <w:rPr>
          <w:rFonts w:ascii="Times New Roman" w:hAnsi="Times New Roman" w:cs="Times New Roman"/>
          <w:sz w:val="24"/>
          <w:szCs w:val="24"/>
        </w:rPr>
        <w:t xml:space="preserve"> would prefer that they deviate from share value maximization to one extent or another to pursue social ends that concern her. She may reason, however, that the behavior of any corporation in which she is invested would almost certainly be the same if someone else owned those shares instead</w:t>
      </w:r>
      <w:r w:rsidR="00796064">
        <w:rPr>
          <w:rFonts w:ascii="Times New Roman" w:hAnsi="Times New Roman" w:cs="Times New Roman"/>
          <w:sz w:val="24"/>
          <w:szCs w:val="24"/>
        </w:rPr>
        <w:t xml:space="preserve">. </w:t>
      </w:r>
      <w:r>
        <w:rPr>
          <w:rFonts w:ascii="Times New Roman" w:hAnsi="Times New Roman" w:cs="Times New Roman"/>
          <w:sz w:val="24"/>
          <w:szCs w:val="24"/>
        </w:rPr>
        <w:t xml:space="preserve">Given this, she may conclude that her views as to a corporation’s behavior should not matter as to which corporations’ shares to hold. </w:t>
      </w:r>
    </w:p>
    <w:p w14:paraId="628D1472" w14:textId="1759E820" w:rsidR="00FC39EF" w:rsidRDefault="00FC39EF" w:rsidP="00C34077">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Ident</w:t>
      </w:r>
      <w:r w:rsidRPr="00FC562B">
        <w:rPr>
          <w:rFonts w:ascii="Times New Roman" w:hAnsi="Times New Roman" w:cs="Times New Roman"/>
          <w:i/>
          <w:sz w:val="24"/>
          <w:szCs w:val="24"/>
        </w:rPr>
        <w:t>i</w:t>
      </w:r>
      <w:r>
        <w:rPr>
          <w:rFonts w:ascii="Times New Roman" w:hAnsi="Times New Roman" w:cs="Times New Roman"/>
          <w:i/>
          <w:sz w:val="24"/>
          <w:szCs w:val="24"/>
        </w:rPr>
        <w:t xml:space="preserve">ty investing. </w:t>
      </w:r>
      <w:r>
        <w:rPr>
          <w:rFonts w:ascii="Times New Roman" w:hAnsi="Times New Roman" w:cs="Times New Roman"/>
          <w:sz w:val="24"/>
          <w:szCs w:val="24"/>
        </w:rPr>
        <w:t>Identity equity investors acquire and then continue to hold only the shares in corporations whose behavior they or their delegees approve of from a social point of view</w:t>
      </w:r>
      <w:r w:rsidR="00796064">
        <w:rPr>
          <w:rFonts w:ascii="Times New Roman" w:hAnsi="Times New Roman" w:cs="Times New Roman"/>
          <w:sz w:val="24"/>
          <w:szCs w:val="24"/>
        </w:rPr>
        <w:t xml:space="preserve">. </w:t>
      </w:r>
      <w:r>
        <w:rPr>
          <w:rFonts w:ascii="Times New Roman" w:hAnsi="Times New Roman" w:cs="Times New Roman"/>
          <w:sz w:val="24"/>
          <w:szCs w:val="24"/>
        </w:rPr>
        <w:t xml:space="preserve">The reason for this approval may simply be that the corporation is in a line of </w:t>
      </w:r>
      <w:r>
        <w:rPr>
          <w:rFonts w:ascii="Times New Roman" w:hAnsi="Times New Roman" w:cs="Times New Roman"/>
          <w:sz w:val="24"/>
          <w:szCs w:val="24"/>
        </w:rPr>
        <w:lastRenderedPageBreak/>
        <w:t>business that permits it to share</w:t>
      </w:r>
      <w:r w:rsidR="00D139FF">
        <w:rPr>
          <w:rFonts w:ascii="Times New Roman" w:hAnsi="Times New Roman" w:cs="Times New Roman"/>
          <w:sz w:val="24"/>
          <w:szCs w:val="24"/>
        </w:rPr>
        <w:t xml:space="preserve"> </w:t>
      </w:r>
      <w:r>
        <w:rPr>
          <w:rFonts w:ascii="Times New Roman" w:hAnsi="Times New Roman" w:cs="Times New Roman"/>
          <w:sz w:val="24"/>
          <w:szCs w:val="24"/>
        </w:rPr>
        <w:t>value</w:t>
      </w:r>
      <w:r w:rsidR="00D139FF">
        <w:rPr>
          <w:rFonts w:ascii="Times New Roman" w:hAnsi="Times New Roman" w:cs="Times New Roman"/>
          <w:sz w:val="24"/>
          <w:szCs w:val="24"/>
        </w:rPr>
        <w:t xml:space="preserve"> </w:t>
      </w:r>
      <w:r>
        <w:rPr>
          <w:rFonts w:ascii="Times New Roman" w:hAnsi="Times New Roman" w:cs="Times New Roman"/>
          <w:sz w:val="24"/>
          <w:szCs w:val="24"/>
        </w:rPr>
        <w:t>maximize without offending this investor’s social concerns</w:t>
      </w:r>
      <w:r w:rsidR="00796064">
        <w:rPr>
          <w:rFonts w:ascii="Times New Roman" w:hAnsi="Times New Roman" w:cs="Times New Roman"/>
          <w:sz w:val="24"/>
          <w:szCs w:val="24"/>
        </w:rPr>
        <w:t xml:space="preserve">. </w:t>
      </w:r>
      <w:r>
        <w:rPr>
          <w:rFonts w:ascii="Times New Roman" w:hAnsi="Times New Roman" w:cs="Times New Roman"/>
          <w:sz w:val="24"/>
          <w:szCs w:val="24"/>
        </w:rPr>
        <w:t>Alternatively, the approved corporation may only be able to meet approval by deviating from share value maximization but is in fact doing so. While unconstrained investors make their equity decisions without regard to the social consequences of the firms in which they invest, identity investors see things differently and affirmatively base their buy and sell decisions on those social consequences. But in contrast to the transformative investors discussed below, identity investors do not take equity positions in companies for the express intention of altering corporate behavior, though they may not necessarily be passive with respect to those companies in which they have invested.</w:t>
      </w:r>
    </w:p>
    <w:p w14:paraId="59564E14" w14:textId="7FEE5BC5" w:rsidR="00FC39EF" w:rsidRDefault="00FC39EF" w:rsidP="00C34077">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 T</w:t>
      </w:r>
      <w:r w:rsidRPr="00FC562B">
        <w:rPr>
          <w:rFonts w:ascii="Times New Roman" w:hAnsi="Times New Roman" w:cs="Times New Roman"/>
          <w:i/>
          <w:sz w:val="24"/>
          <w:szCs w:val="24"/>
        </w:rPr>
        <w:t>ransformational</w:t>
      </w:r>
      <w:r>
        <w:rPr>
          <w:rFonts w:ascii="Times New Roman" w:hAnsi="Times New Roman" w:cs="Times New Roman"/>
          <w:i/>
          <w:sz w:val="24"/>
          <w:szCs w:val="24"/>
        </w:rPr>
        <w:t xml:space="preserve"> investing</w:t>
      </w:r>
      <w:r w:rsidR="00796064">
        <w:rPr>
          <w:rFonts w:ascii="Times New Roman" w:hAnsi="Times New Roman" w:cs="Times New Roman"/>
          <w:i/>
          <w:sz w:val="24"/>
          <w:szCs w:val="24"/>
        </w:rPr>
        <w:t xml:space="preserve">. </w:t>
      </w:r>
      <w:r>
        <w:rPr>
          <w:rFonts w:ascii="Times New Roman" w:hAnsi="Times New Roman" w:cs="Times New Roman"/>
          <w:sz w:val="24"/>
          <w:szCs w:val="24"/>
        </w:rPr>
        <w:t>Transformational investing involves the following scenario. Imagine an equity investor willing to sacrifice a certain amount of wealth in order to achieve some social aim</w:t>
      </w:r>
      <w:r w:rsidR="00796064">
        <w:rPr>
          <w:rFonts w:ascii="Times New Roman" w:hAnsi="Times New Roman" w:cs="Times New Roman"/>
          <w:sz w:val="24"/>
          <w:szCs w:val="24"/>
        </w:rPr>
        <w:t xml:space="preserve">. </w:t>
      </w:r>
      <w:r>
        <w:rPr>
          <w:rFonts w:ascii="Times New Roman" w:hAnsi="Times New Roman" w:cs="Times New Roman"/>
          <w:sz w:val="24"/>
          <w:szCs w:val="24"/>
        </w:rPr>
        <w:t>She or her delegee identifies a corporation that is currently not furthering this aim</w:t>
      </w:r>
      <w:r w:rsidR="00796064">
        <w:rPr>
          <w:rFonts w:ascii="Times New Roman" w:hAnsi="Times New Roman" w:cs="Times New Roman"/>
          <w:sz w:val="24"/>
          <w:szCs w:val="24"/>
        </w:rPr>
        <w:t xml:space="preserve">. </w:t>
      </w:r>
      <w:r>
        <w:rPr>
          <w:rFonts w:ascii="Times New Roman" w:hAnsi="Times New Roman" w:cs="Times New Roman"/>
          <w:sz w:val="24"/>
          <w:szCs w:val="24"/>
        </w:rPr>
        <w:t xml:space="preserve">She purchases some of its shares with the intention of changing the firm’s behavior in a way that furthers this social aim, aware that for the corporation to do so, it </w:t>
      </w:r>
      <w:r w:rsidR="00A871E3">
        <w:rPr>
          <w:rFonts w:ascii="Times New Roman" w:hAnsi="Times New Roman" w:cs="Times New Roman"/>
          <w:sz w:val="24"/>
          <w:szCs w:val="24"/>
        </w:rPr>
        <w:t>must appreciably</w:t>
      </w:r>
      <w:r>
        <w:rPr>
          <w:rFonts w:ascii="Times New Roman" w:hAnsi="Times New Roman" w:cs="Times New Roman"/>
          <w:sz w:val="24"/>
          <w:szCs w:val="24"/>
        </w:rPr>
        <w:t xml:space="preserve"> deviate from share value maximization. Once the transformational investor takes her equity position, she will rely on the threat or use of the franchise to cause the firm’s managers to alter corporate conduct in some way. Self-evidently, it is unlikely that an investor would be motivated to make a purchase with this plan in mind unless she thought there are a sufficient number of other prospective purchasers with the same plan in mind or of existing shareholders who </w:t>
      </w:r>
      <w:r w:rsidR="004D59A8">
        <w:rPr>
          <w:rFonts w:ascii="Times New Roman" w:hAnsi="Times New Roman" w:cs="Times New Roman"/>
          <w:sz w:val="24"/>
          <w:szCs w:val="24"/>
        </w:rPr>
        <w:t xml:space="preserve">would </w:t>
      </w:r>
      <w:r>
        <w:rPr>
          <w:rFonts w:ascii="Times New Roman" w:hAnsi="Times New Roman" w:cs="Times New Roman"/>
          <w:sz w:val="24"/>
          <w:szCs w:val="24"/>
        </w:rPr>
        <w:t xml:space="preserve">prefer the change. </w:t>
      </w:r>
    </w:p>
    <w:p w14:paraId="5EFE27FC" w14:textId="50DE5143" w:rsidR="00FC39EF" w:rsidRDefault="00FC39EF" w:rsidP="00C3407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4D59A8">
        <w:rPr>
          <w:rFonts w:ascii="Times New Roman" w:hAnsi="Times New Roman" w:cs="Times New Roman"/>
          <w:sz w:val="24"/>
          <w:szCs w:val="24"/>
        </w:rPr>
        <w:t xml:space="preserve">In the remainder of this Part, we start by </w:t>
      </w:r>
      <w:r>
        <w:rPr>
          <w:rFonts w:ascii="Times New Roman" w:hAnsi="Times New Roman" w:cs="Times New Roman"/>
          <w:sz w:val="24"/>
          <w:szCs w:val="24"/>
        </w:rPr>
        <w:t>consider</w:t>
      </w:r>
      <w:r w:rsidR="004D59A8">
        <w:rPr>
          <w:rFonts w:ascii="Times New Roman" w:hAnsi="Times New Roman" w:cs="Times New Roman"/>
          <w:sz w:val="24"/>
          <w:szCs w:val="24"/>
        </w:rPr>
        <w:t>ing</w:t>
      </w:r>
      <w:r>
        <w:rPr>
          <w:rFonts w:ascii="Times New Roman" w:hAnsi="Times New Roman" w:cs="Times New Roman"/>
          <w:sz w:val="24"/>
          <w:szCs w:val="24"/>
        </w:rPr>
        <w:t xml:space="preserve"> the likely prevalence of each of these three types of investing</w:t>
      </w:r>
      <w:r w:rsidR="00796064">
        <w:rPr>
          <w:rFonts w:ascii="Times New Roman" w:hAnsi="Times New Roman" w:cs="Times New Roman"/>
          <w:sz w:val="24"/>
          <w:szCs w:val="24"/>
        </w:rPr>
        <w:t xml:space="preserve">. </w:t>
      </w:r>
      <w:r>
        <w:rPr>
          <w:rFonts w:ascii="Times New Roman" w:hAnsi="Times New Roman" w:cs="Times New Roman"/>
          <w:sz w:val="24"/>
          <w:szCs w:val="24"/>
        </w:rPr>
        <w:t xml:space="preserve">We then analyze how introducing identity and transformative investors into the mix alters, if at all, the conclusions of Part II with regard to the low likelihood that U.S. </w:t>
      </w:r>
      <w:r>
        <w:rPr>
          <w:rFonts w:ascii="Times New Roman" w:hAnsi="Times New Roman" w:cs="Times New Roman"/>
          <w:sz w:val="24"/>
          <w:szCs w:val="24"/>
        </w:rPr>
        <w:lastRenderedPageBreak/>
        <w:t xml:space="preserve">dispersed ownership public corporations will deviate significantly from share value maximization </w:t>
      </w:r>
      <w:r w:rsidR="00D139FF">
        <w:rPr>
          <w:rFonts w:ascii="Times New Roman" w:hAnsi="Times New Roman" w:cs="Times New Roman"/>
          <w:sz w:val="24"/>
          <w:szCs w:val="24"/>
        </w:rPr>
        <w:t>to advance</w:t>
      </w:r>
      <w:r>
        <w:rPr>
          <w:rFonts w:ascii="Times New Roman" w:hAnsi="Times New Roman" w:cs="Times New Roman"/>
          <w:sz w:val="24"/>
          <w:szCs w:val="24"/>
        </w:rPr>
        <w:t xml:space="preserve"> some social end even if a meaningful portion of the economy’s equity investors would prefer that</w:t>
      </w:r>
      <w:r w:rsidR="00796064">
        <w:rPr>
          <w:rFonts w:ascii="Times New Roman" w:hAnsi="Times New Roman" w:cs="Times New Roman"/>
          <w:sz w:val="24"/>
          <w:szCs w:val="24"/>
        </w:rPr>
        <w:t xml:space="preserve">. </w:t>
      </w:r>
      <w:r w:rsidR="000F7409">
        <w:rPr>
          <w:rFonts w:ascii="Times New Roman" w:hAnsi="Times New Roman" w:cs="Times New Roman"/>
          <w:sz w:val="24"/>
          <w:szCs w:val="24"/>
        </w:rPr>
        <w:t xml:space="preserve"> We look at this question both in terms of how introducing identity and transformative investors affects this likelihood through the operation of the franchise and through its effect on share prices.</w:t>
      </w:r>
    </w:p>
    <w:p w14:paraId="5750DCC4" w14:textId="77777777" w:rsidR="00FC39EF" w:rsidRDefault="00FC39EF" w:rsidP="00C34077">
      <w:pPr>
        <w:spacing w:after="0" w:line="480" w:lineRule="auto"/>
        <w:jc w:val="center"/>
        <w:rPr>
          <w:rFonts w:ascii="Times New Roman" w:hAnsi="Times New Roman" w:cs="Times New Roman"/>
          <w:sz w:val="24"/>
          <w:szCs w:val="24"/>
        </w:rPr>
      </w:pPr>
      <w:r>
        <w:rPr>
          <w:rFonts w:ascii="Times New Roman" w:hAnsi="Times New Roman" w:cs="Times New Roman"/>
          <w:i/>
          <w:sz w:val="24"/>
          <w:szCs w:val="24"/>
        </w:rPr>
        <w:t>B. The Prevalence of the Different Types of Equity Investors</w:t>
      </w:r>
    </w:p>
    <w:p w14:paraId="54322C76" w14:textId="5A821D5D" w:rsidR="00FC39EF" w:rsidRDefault="00FC39EF" w:rsidP="00C34077">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Equity investors have traditionally been portrayed in the finance literature as unconstrained investors.  They are modeled as simply seeking to construct a portfolio of equities that maximizes their risk-adjusted return without regard to the social impact of the behavior of the issuers that are included</w:t>
      </w:r>
      <w:r w:rsidR="00796064">
        <w:rPr>
          <w:rFonts w:ascii="Times New Roman" w:hAnsi="Times New Roman" w:cs="Times New Roman"/>
          <w:sz w:val="24"/>
          <w:szCs w:val="24"/>
        </w:rPr>
        <w:t>.</w:t>
      </w:r>
      <w:r w:rsidR="00D139FF" w:rsidRPr="00D139FF">
        <w:rPr>
          <w:rStyle w:val="FootnoteReference"/>
          <w:rFonts w:ascii="Times New Roman" w:hAnsi="Times New Roman" w:cs="Times New Roman"/>
          <w:sz w:val="24"/>
          <w:szCs w:val="24"/>
        </w:rPr>
        <w:t xml:space="preserve"> </w:t>
      </w:r>
      <w:r w:rsidR="00D139FF">
        <w:rPr>
          <w:rStyle w:val="FootnoteReference"/>
          <w:rFonts w:ascii="Times New Roman" w:hAnsi="Times New Roman" w:cs="Times New Roman"/>
          <w:sz w:val="24"/>
          <w:szCs w:val="24"/>
        </w:rPr>
        <w:footnoteReference w:id="81"/>
      </w:r>
      <w:r w:rsidR="00796064">
        <w:rPr>
          <w:rFonts w:ascii="Times New Roman" w:hAnsi="Times New Roman" w:cs="Times New Roman"/>
          <w:sz w:val="24"/>
          <w:szCs w:val="24"/>
        </w:rPr>
        <w:t xml:space="preserve"> </w:t>
      </w:r>
      <w:r>
        <w:rPr>
          <w:rFonts w:ascii="Times New Roman" w:hAnsi="Times New Roman" w:cs="Times New Roman"/>
          <w:sz w:val="24"/>
          <w:szCs w:val="24"/>
        </w:rPr>
        <w:t>This is true of active investors, who seek to achieve risk-adjusted results in excess of overall market returns by purchasing what they view as underpriced stocks and selling or selling short what they view as overpriced ones</w:t>
      </w:r>
      <w:r w:rsidR="00796064">
        <w:rPr>
          <w:rFonts w:ascii="Times New Roman" w:hAnsi="Times New Roman" w:cs="Times New Roman"/>
          <w:sz w:val="24"/>
          <w:szCs w:val="24"/>
        </w:rPr>
        <w:t xml:space="preserve">. </w:t>
      </w:r>
      <w:r>
        <w:rPr>
          <w:rFonts w:ascii="Times New Roman" w:hAnsi="Times New Roman" w:cs="Times New Roman"/>
          <w:sz w:val="24"/>
          <w:szCs w:val="24"/>
        </w:rPr>
        <w:t>And it is true of passive investors who do not seek to outguess the market and simply try to use diversification to minimize risk relative to expected return</w:t>
      </w:r>
      <w:r w:rsidR="00796064">
        <w:rPr>
          <w:rFonts w:ascii="Times New Roman" w:hAnsi="Times New Roman" w:cs="Times New Roman"/>
          <w:sz w:val="24"/>
          <w:szCs w:val="24"/>
        </w:rPr>
        <w:t xml:space="preserve">. </w:t>
      </w:r>
    </w:p>
    <w:p w14:paraId="23E07BDE" w14:textId="4C5A47D4" w:rsidR="00FC39EF" w:rsidRDefault="00FC39EF" w:rsidP="00C34077">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The discussion below suggests that as of today, the world has not changed so much that this modeling in fact no longer accurately describes most equity investors with regard to most of their portfolio composition decisions</w:t>
      </w:r>
      <w:r w:rsidR="00796064">
        <w:rPr>
          <w:rFonts w:ascii="Times New Roman" w:hAnsi="Times New Roman" w:cs="Times New Roman"/>
          <w:sz w:val="24"/>
          <w:szCs w:val="24"/>
        </w:rPr>
        <w:t xml:space="preserve">. </w:t>
      </w:r>
      <w:r>
        <w:rPr>
          <w:rFonts w:ascii="Times New Roman" w:hAnsi="Times New Roman" w:cs="Times New Roman"/>
          <w:sz w:val="24"/>
          <w:szCs w:val="24"/>
        </w:rPr>
        <w:t>Still, identity investing appears to be playing a meaningful role and one that may grow</w:t>
      </w:r>
      <w:r w:rsidR="00796064">
        <w:rPr>
          <w:rFonts w:ascii="Times New Roman" w:hAnsi="Times New Roman" w:cs="Times New Roman"/>
          <w:sz w:val="24"/>
          <w:szCs w:val="24"/>
        </w:rPr>
        <w:t xml:space="preserve">. </w:t>
      </w:r>
      <w:r>
        <w:rPr>
          <w:rFonts w:ascii="Times New Roman" w:hAnsi="Times New Roman" w:cs="Times New Roman"/>
          <w:sz w:val="24"/>
          <w:szCs w:val="24"/>
        </w:rPr>
        <w:t>Transformative investing is a conceptually possible third route, but our research does not reveal any meaningful amount of it going on and there are good theoretical reasons for thinking its future development would face tough odds.</w:t>
      </w:r>
    </w:p>
    <w:p w14:paraId="75FCB4AF" w14:textId="03870C82" w:rsidR="00FC39EF" w:rsidRDefault="00FC39EF" w:rsidP="00C34077">
      <w:pPr>
        <w:spacing w:after="0" w:line="480" w:lineRule="auto"/>
        <w:ind w:firstLine="720"/>
        <w:jc w:val="both"/>
        <w:rPr>
          <w:rFonts w:ascii="Times New Roman" w:hAnsi="Times New Roman" w:cs="Times New Roman"/>
          <w:sz w:val="24"/>
          <w:szCs w:val="24"/>
        </w:rPr>
      </w:pPr>
      <w:r>
        <w:rPr>
          <w:rFonts w:ascii="Times New Roman" w:hAnsi="Times New Roman" w:cs="Times New Roman"/>
          <w:i/>
          <w:sz w:val="24"/>
          <w:szCs w:val="24"/>
        </w:rPr>
        <w:lastRenderedPageBreak/>
        <w:t xml:space="preserve">1. Identity investing. </w:t>
      </w:r>
      <w:r>
        <w:rPr>
          <w:rFonts w:ascii="Times New Roman" w:hAnsi="Times New Roman" w:cs="Times New Roman"/>
          <w:sz w:val="24"/>
          <w:szCs w:val="24"/>
        </w:rPr>
        <w:t>Identity investing comes in two flavors: negative and positive</w:t>
      </w:r>
      <w:r w:rsidR="00796064">
        <w:rPr>
          <w:rFonts w:ascii="Times New Roman" w:hAnsi="Times New Roman" w:cs="Times New Roman"/>
          <w:sz w:val="24"/>
          <w:szCs w:val="24"/>
        </w:rPr>
        <w:t xml:space="preserve">. </w:t>
      </w:r>
      <w:r>
        <w:rPr>
          <w:rFonts w:ascii="Times New Roman" w:hAnsi="Times New Roman" w:cs="Times New Roman"/>
          <w:sz w:val="24"/>
          <w:szCs w:val="24"/>
        </w:rPr>
        <w:t xml:space="preserve">Although each approach divides the universe of issuers into two categories, those whose shares can be included in the investor’s portfolio and those that cannot, the way each </w:t>
      </w:r>
      <w:r w:rsidR="000F7409">
        <w:rPr>
          <w:rFonts w:ascii="Times New Roman" w:hAnsi="Times New Roman" w:cs="Times New Roman"/>
          <w:sz w:val="24"/>
          <w:szCs w:val="24"/>
        </w:rPr>
        <w:t>flavor</w:t>
      </w:r>
      <w:r>
        <w:rPr>
          <w:rFonts w:ascii="Times New Roman" w:hAnsi="Times New Roman" w:cs="Times New Roman"/>
          <w:sz w:val="24"/>
          <w:szCs w:val="24"/>
        </w:rPr>
        <w:t>goes about making the division differs.</w:t>
      </w:r>
    </w:p>
    <w:p w14:paraId="7AAC90E3" w14:textId="404B4558" w:rsidR="00FC39EF" w:rsidRDefault="00FC39EF" w:rsidP="00C34077">
      <w:pPr>
        <w:spacing w:after="0" w:line="480" w:lineRule="auto"/>
        <w:ind w:firstLine="720"/>
        <w:jc w:val="both"/>
        <w:rPr>
          <w:rFonts w:ascii="Times New Roman" w:hAnsi="Times New Roman" w:cs="Times New Roman"/>
          <w:sz w:val="24"/>
          <w:szCs w:val="24"/>
        </w:rPr>
      </w:pPr>
      <w:r w:rsidRPr="009E0BF6">
        <w:rPr>
          <w:rFonts w:ascii="Times New Roman" w:hAnsi="Times New Roman" w:cs="Times New Roman"/>
          <w:i/>
          <w:sz w:val="24"/>
          <w:szCs w:val="24"/>
        </w:rPr>
        <w:t>a</w:t>
      </w:r>
      <w:r>
        <w:rPr>
          <w:rFonts w:ascii="Times New Roman" w:hAnsi="Times New Roman" w:cs="Times New Roman"/>
          <w:i/>
          <w:sz w:val="24"/>
          <w:szCs w:val="24"/>
        </w:rPr>
        <w:t>. Negative identity investing.</w:t>
      </w:r>
      <w:r>
        <w:rPr>
          <w:rFonts w:ascii="Times New Roman" w:hAnsi="Times New Roman" w:cs="Times New Roman"/>
          <w:sz w:val="24"/>
          <w:szCs w:val="24"/>
        </w:rPr>
        <w:t xml:space="preserve"> Negative</w:t>
      </w:r>
      <w:r w:rsidR="00671668">
        <w:rPr>
          <w:rFonts w:ascii="Times New Roman" w:hAnsi="Times New Roman" w:cs="Times New Roman"/>
          <w:sz w:val="24"/>
          <w:szCs w:val="24"/>
        </w:rPr>
        <w:t xml:space="preserve"> identity</w:t>
      </w:r>
      <w:r>
        <w:rPr>
          <w:rFonts w:ascii="Times New Roman" w:hAnsi="Times New Roman" w:cs="Times New Roman"/>
          <w:sz w:val="24"/>
          <w:szCs w:val="24"/>
        </w:rPr>
        <w:t xml:space="preserve"> investing involves identifying issuers whose social impact is sufficiently disapproved of that the investor does not wish to hold their shares</w:t>
      </w:r>
      <w:r w:rsidR="00796064">
        <w:rPr>
          <w:rFonts w:ascii="Times New Roman" w:hAnsi="Times New Roman" w:cs="Times New Roman"/>
          <w:sz w:val="24"/>
          <w:szCs w:val="24"/>
        </w:rPr>
        <w:t xml:space="preserve">. </w:t>
      </w:r>
      <w:r>
        <w:rPr>
          <w:rFonts w:ascii="Times New Roman" w:hAnsi="Times New Roman" w:cs="Times New Roman"/>
          <w:sz w:val="24"/>
          <w:szCs w:val="24"/>
        </w:rPr>
        <w:t>This might start by a review of the issuers currently in a portfolio and the sale of ones whose social impact is found to be sufficiently offensive</w:t>
      </w:r>
      <w:r w:rsidR="00796064">
        <w:rPr>
          <w:rFonts w:ascii="Times New Roman" w:hAnsi="Times New Roman" w:cs="Times New Roman"/>
          <w:sz w:val="24"/>
          <w:szCs w:val="24"/>
        </w:rPr>
        <w:t xml:space="preserve">. </w:t>
      </w:r>
      <w:r>
        <w:rPr>
          <w:rFonts w:ascii="Times New Roman" w:hAnsi="Times New Roman" w:cs="Times New Roman"/>
          <w:sz w:val="24"/>
          <w:szCs w:val="24"/>
        </w:rPr>
        <w:t xml:space="preserve">To be consistent, it would also involve establishing a screen which would bar the future acquisition of issuers that behave in </w:t>
      </w:r>
      <w:r w:rsidR="000F7409">
        <w:rPr>
          <w:rFonts w:ascii="Times New Roman" w:hAnsi="Times New Roman" w:cs="Times New Roman"/>
          <w:sz w:val="24"/>
          <w:szCs w:val="24"/>
        </w:rPr>
        <w:t>the same</w:t>
      </w:r>
      <w:r>
        <w:rPr>
          <w:rFonts w:ascii="Times New Roman" w:hAnsi="Times New Roman" w:cs="Times New Roman"/>
          <w:sz w:val="24"/>
          <w:szCs w:val="24"/>
        </w:rPr>
        <w:t xml:space="preserve"> disapproved ways. Outside of avoiding issuers th</w:t>
      </w:r>
      <w:r w:rsidR="006851A0">
        <w:rPr>
          <w:rFonts w:ascii="Times New Roman" w:hAnsi="Times New Roman" w:cs="Times New Roman"/>
          <w:sz w:val="24"/>
          <w:szCs w:val="24"/>
        </w:rPr>
        <w:t>at</w:t>
      </w:r>
      <w:r>
        <w:rPr>
          <w:rFonts w:ascii="Times New Roman" w:hAnsi="Times New Roman" w:cs="Times New Roman"/>
          <w:sz w:val="24"/>
          <w:szCs w:val="24"/>
        </w:rPr>
        <w:t xml:space="preserve"> meet the disapproval criteria, however, the investor engages in unconstrained investing.</w:t>
      </w:r>
    </w:p>
    <w:p w14:paraId="493F4349" w14:textId="63B8DB81" w:rsidR="00FC39EF" w:rsidRDefault="00FC39EF" w:rsidP="00C3407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easiest places to spot instances of negative identity investing are university and other nonprofit endowments and public worker pension funds</w:t>
      </w:r>
      <w:r w:rsidR="00796064">
        <w:rPr>
          <w:rFonts w:ascii="Times New Roman" w:hAnsi="Times New Roman" w:cs="Times New Roman"/>
          <w:sz w:val="24"/>
          <w:szCs w:val="24"/>
        </w:rPr>
        <w:t xml:space="preserve">. </w:t>
      </w:r>
      <w:r>
        <w:rPr>
          <w:rFonts w:ascii="Times New Roman" w:hAnsi="Times New Roman" w:cs="Times New Roman"/>
          <w:sz w:val="24"/>
          <w:szCs w:val="24"/>
        </w:rPr>
        <w:t>Whether on their own accord or subject to the pressure of various stakeholders, the trustees of many of these entities have divested their portfolios of the shares of corporations that are viewed as acting in socially undesirable ways</w:t>
      </w:r>
      <w:r w:rsidR="00796064">
        <w:rPr>
          <w:rFonts w:ascii="Times New Roman" w:hAnsi="Times New Roman" w:cs="Times New Roman"/>
          <w:sz w:val="24"/>
          <w:szCs w:val="24"/>
        </w:rPr>
        <w:t xml:space="preserve">. </w:t>
      </w:r>
      <w:r>
        <w:rPr>
          <w:rFonts w:ascii="Times New Roman" w:hAnsi="Times New Roman" w:cs="Times New Roman"/>
          <w:sz w:val="24"/>
          <w:szCs w:val="24"/>
        </w:rPr>
        <w:t>This has been largely confined, however, to shares in all firms in a select group of industries such as oil, gas, coal</w:t>
      </w:r>
      <w:r w:rsidR="00CA6770">
        <w:rPr>
          <w:rFonts w:ascii="Times New Roman" w:hAnsi="Times New Roman" w:cs="Times New Roman"/>
          <w:sz w:val="24"/>
          <w:szCs w:val="24"/>
        </w:rPr>
        <w:t>,</w:t>
      </w:r>
      <w:r>
        <w:rPr>
          <w:rFonts w:ascii="Times New Roman" w:hAnsi="Times New Roman" w:cs="Times New Roman"/>
          <w:sz w:val="24"/>
          <w:szCs w:val="24"/>
        </w:rPr>
        <w:t xml:space="preserve"> tobacco and domestic firearms.</w:t>
      </w:r>
    </w:p>
    <w:p w14:paraId="1B0513E0" w14:textId="172E112E" w:rsidR="00FC39EF" w:rsidRDefault="00FC39EF" w:rsidP="00C3407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It is difficult to measure exactly how the portfolios of the entities that engaged in such divestment are different than if they had remained pure unconstrained investors</w:t>
      </w:r>
      <w:r w:rsidR="00796064">
        <w:rPr>
          <w:rFonts w:ascii="Times New Roman" w:hAnsi="Times New Roman" w:cs="Times New Roman"/>
          <w:sz w:val="24"/>
          <w:szCs w:val="24"/>
        </w:rPr>
        <w:t xml:space="preserve">. </w:t>
      </w:r>
      <w:r>
        <w:rPr>
          <w:rFonts w:ascii="Times New Roman" w:hAnsi="Times New Roman" w:cs="Times New Roman"/>
          <w:sz w:val="24"/>
          <w:szCs w:val="24"/>
        </w:rPr>
        <w:t xml:space="preserve">It is reasonable to assume, though, that if the entity had remained </w:t>
      </w:r>
      <w:r w:rsidR="006851A0">
        <w:rPr>
          <w:rFonts w:ascii="Times New Roman" w:hAnsi="Times New Roman" w:cs="Times New Roman"/>
          <w:sz w:val="24"/>
          <w:szCs w:val="24"/>
        </w:rPr>
        <w:t xml:space="preserve">a </w:t>
      </w:r>
      <w:r>
        <w:rPr>
          <w:rFonts w:ascii="Times New Roman" w:hAnsi="Times New Roman" w:cs="Times New Roman"/>
          <w:sz w:val="24"/>
          <w:szCs w:val="24"/>
        </w:rPr>
        <w:t xml:space="preserve">purely unconstrained investor across the board, its  holdings in each divested industry as percentage of its public corporation portfolio would over time have approximately averaged the ratio of the capitalization of that industry to the </w:t>
      </w:r>
      <w:r>
        <w:rPr>
          <w:rFonts w:ascii="Times New Roman" w:hAnsi="Times New Roman" w:cs="Times New Roman"/>
          <w:sz w:val="24"/>
          <w:szCs w:val="24"/>
        </w:rPr>
        <w:lastRenderedPageBreak/>
        <w:t>capitalization of the market as a whole.</w:t>
      </w:r>
      <w:r>
        <w:rPr>
          <w:rStyle w:val="FootnoteReference"/>
          <w:rFonts w:ascii="Times New Roman" w:hAnsi="Times New Roman" w:cs="Times New Roman"/>
          <w:sz w:val="24"/>
          <w:szCs w:val="24"/>
        </w:rPr>
        <w:footnoteReference w:id="82"/>
      </w:r>
      <w:r>
        <w:rPr>
          <w:rFonts w:ascii="Times New Roman" w:hAnsi="Times New Roman" w:cs="Times New Roman"/>
          <w:sz w:val="24"/>
          <w:szCs w:val="24"/>
        </w:rPr>
        <w:t xml:space="preserve">  Whatever it would have invested in in the shares of these disfavored industries, it would need to invest elsewhere, presumably in other public equities that are not disapproved of,</w:t>
      </w:r>
      <w:r>
        <w:rPr>
          <w:rStyle w:val="FootnoteReference"/>
          <w:rFonts w:ascii="Times New Roman" w:hAnsi="Times New Roman" w:cs="Times New Roman"/>
          <w:sz w:val="24"/>
          <w:szCs w:val="24"/>
        </w:rPr>
        <w:footnoteReference w:id="83"/>
      </w:r>
      <w:r>
        <w:rPr>
          <w:rFonts w:ascii="Times New Roman" w:hAnsi="Times New Roman" w:cs="Times New Roman"/>
          <w:sz w:val="24"/>
          <w:szCs w:val="24"/>
        </w:rPr>
        <w:t xml:space="preserve"> and will do so in the fashion of an unconstrained investor</w:t>
      </w:r>
      <w:r w:rsidR="00796064">
        <w:rPr>
          <w:rFonts w:ascii="Times New Roman" w:hAnsi="Times New Roman" w:cs="Times New Roman"/>
          <w:sz w:val="24"/>
          <w:szCs w:val="24"/>
        </w:rPr>
        <w:t xml:space="preserve">. </w:t>
      </w:r>
    </w:p>
    <w:p w14:paraId="7C9E35C9" w14:textId="5DDADA55" w:rsidR="00FC39EF" w:rsidRDefault="00FC39EF" w:rsidP="00C34077">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Many retail investors making their own portfolio choices may engage in a similar kind of negative identity investing</w:t>
      </w:r>
      <w:r w:rsidR="00796064">
        <w:rPr>
          <w:rFonts w:ascii="Times New Roman" w:hAnsi="Times New Roman" w:cs="Times New Roman"/>
          <w:sz w:val="24"/>
          <w:szCs w:val="24"/>
        </w:rPr>
        <w:t xml:space="preserve">. </w:t>
      </w:r>
      <w:r>
        <w:rPr>
          <w:rFonts w:ascii="Times New Roman" w:hAnsi="Times New Roman" w:cs="Times New Roman"/>
          <w:sz w:val="24"/>
          <w:szCs w:val="24"/>
        </w:rPr>
        <w:t>It seems likely that most such retail investors do not consider the behavior of most corporations when they are composing their portfolios</w:t>
      </w:r>
      <w:r w:rsidR="00796064">
        <w:rPr>
          <w:rFonts w:ascii="Times New Roman" w:hAnsi="Times New Roman" w:cs="Times New Roman"/>
          <w:sz w:val="24"/>
          <w:szCs w:val="24"/>
        </w:rPr>
        <w:t xml:space="preserve">. </w:t>
      </w:r>
      <w:r w:rsidR="006851A0">
        <w:rPr>
          <w:rFonts w:ascii="Times New Roman" w:hAnsi="Times New Roman" w:cs="Times New Roman"/>
          <w:sz w:val="24"/>
          <w:szCs w:val="24"/>
        </w:rPr>
        <w:t>But many of them</w:t>
      </w:r>
      <w:r>
        <w:rPr>
          <w:rFonts w:ascii="Times New Roman" w:hAnsi="Times New Roman" w:cs="Times New Roman"/>
          <w:sz w:val="24"/>
          <w:szCs w:val="24"/>
        </w:rPr>
        <w:t xml:space="preserve"> might, however, refuse to include, for example, any tobacco stocks, because the social consequences of a tobacco company’s behavior are highly salient and offend them greatly. The extent of such retail investor negative identity investing, however, is hard to ascertain</w:t>
      </w:r>
      <w:r w:rsidR="00796064">
        <w:rPr>
          <w:rFonts w:ascii="Times New Roman" w:hAnsi="Times New Roman" w:cs="Times New Roman"/>
          <w:sz w:val="24"/>
          <w:szCs w:val="24"/>
        </w:rPr>
        <w:t xml:space="preserve">. </w:t>
      </w:r>
    </w:p>
    <w:p w14:paraId="5C825DE6" w14:textId="340A750E" w:rsidR="00FC39EF" w:rsidRDefault="00FC39EF" w:rsidP="00C34077">
      <w:pPr>
        <w:spacing w:after="0" w:line="480" w:lineRule="auto"/>
        <w:ind w:firstLine="720"/>
        <w:jc w:val="both"/>
        <w:rPr>
          <w:rFonts w:ascii="Times New Roman" w:hAnsi="Times New Roman" w:cs="Times New Roman"/>
          <w:sz w:val="24"/>
          <w:szCs w:val="24"/>
        </w:rPr>
      </w:pPr>
      <w:r>
        <w:rPr>
          <w:rFonts w:ascii="Times New Roman" w:hAnsi="Times New Roman" w:cs="Times New Roman"/>
          <w:i/>
          <w:sz w:val="24"/>
          <w:szCs w:val="24"/>
        </w:rPr>
        <w:t xml:space="preserve">b. Positive identity investing. </w:t>
      </w:r>
      <w:r>
        <w:rPr>
          <w:rFonts w:ascii="Times New Roman" w:hAnsi="Times New Roman" w:cs="Times New Roman"/>
          <w:sz w:val="24"/>
          <w:szCs w:val="24"/>
        </w:rPr>
        <w:t>Positive identity investing involves only holding shares in issuers whose behavior is affirmatively approved of</w:t>
      </w:r>
      <w:r w:rsidR="00796064">
        <w:rPr>
          <w:rFonts w:ascii="Times New Roman" w:hAnsi="Times New Roman" w:cs="Times New Roman"/>
          <w:sz w:val="24"/>
          <w:szCs w:val="24"/>
        </w:rPr>
        <w:t xml:space="preserve">. </w:t>
      </w:r>
      <w:r>
        <w:rPr>
          <w:rFonts w:ascii="Times New Roman" w:hAnsi="Times New Roman" w:cs="Times New Roman"/>
          <w:sz w:val="24"/>
          <w:szCs w:val="24"/>
        </w:rPr>
        <w:t>What is approvable depends on the investor</w:t>
      </w:r>
      <w:r w:rsidR="00796064">
        <w:rPr>
          <w:rFonts w:ascii="Times New Roman" w:hAnsi="Times New Roman" w:cs="Times New Roman"/>
          <w:sz w:val="24"/>
          <w:szCs w:val="24"/>
        </w:rPr>
        <w:t xml:space="preserve">. </w:t>
      </w:r>
      <w:r>
        <w:rPr>
          <w:rFonts w:ascii="Times New Roman" w:hAnsi="Times New Roman" w:cs="Times New Roman"/>
          <w:sz w:val="24"/>
          <w:szCs w:val="24"/>
        </w:rPr>
        <w:t>The net could be as wide as including any corporation that does not affirmatively offend certain social values held by the investor</w:t>
      </w:r>
      <w:r w:rsidR="00796064">
        <w:rPr>
          <w:rFonts w:ascii="Times New Roman" w:hAnsi="Times New Roman" w:cs="Times New Roman"/>
          <w:sz w:val="24"/>
          <w:szCs w:val="24"/>
        </w:rPr>
        <w:t xml:space="preserve">. </w:t>
      </w:r>
      <w:r>
        <w:rPr>
          <w:rFonts w:ascii="Times New Roman" w:hAnsi="Times New Roman" w:cs="Times New Roman"/>
          <w:sz w:val="24"/>
          <w:szCs w:val="24"/>
        </w:rPr>
        <w:t>In other words,  it would include any firm in a line of business that permits it to share-value-maximize without offending any of these social concerns plus any firm that is only able to avoid offending these concerns by deviating from share value maximization and but in fact is doing so.</w:t>
      </w:r>
      <w:r>
        <w:rPr>
          <w:rStyle w:val="FootnoteReference"/>
          <w:rFonts w:ascii="Times New Roman" w:hAnsi="Times New Roman" w:cs="Times New Roman"/>
          <w:sz w:val="24"/>
          <w:szCs w:val="24"/>
        </w:rPr>
        <w:footnoteReference w:id="84"/>
      </w:r>
      <w:r>
        <w:rPr>
          <w:rFonts w:ascii="Times New Roman" w:hAnsi="Times New Roman" w:cs="Times New Roman"/>
          <w:sz w:val="24"/>
          <w:szCs w:val="24"/>
        </w:rPr>
        <w:t xml:space="preserve">  Alternatively, the net might be narrower with the only approved firms being ones whose behavior affirmatively furthers a certain social value held by the </w:t>
      </w:r>
      <w:r>
        <w:rPr>
          <w:rFonts w:ascii="Times New Roman" w:hAnsi="Times New Roman" w:cs="Times New Roman"/>
          <w:sz w:val="24"/>
          <w:szCs w:val="24"/>
        </w:rPr>
        <w:lastRenderedPageBreak/>
        <w:t>investor, again whether the firm can behave this way while maximizing share value or, to do so, it needs to deviate from that but does.</w:t>
      </w:r>
    </w:p>
    <w:p w14:paraId="10592064" w14:textId="293D90D1" w:rsidR="00FC39EF" w:rsidRDefault="00FC39EF" w:rsidP="00C3407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key distinction between negative and positive identity investing is how the screening is articulated</w:t>
      </w:r>
      <w:r w:rsidR="00796064">
        <w:rPr>
          <w:rFonts w:ascii="Times New Roman" w:hAnsi="Times New Roman" w:cs="Times New Roman"/>
          <w:sz w:val="24"/>
          <w:szCs w:val="24"/>
        </w:rPr>
        <w:t xml:space="preserve">. </w:t>
      </w:r>
      <w:r>
        <w:rPr>
          <w:rFonts w:ascii="Times New Roman" w:hAnsi="Times New Roman" w:cs="Times New Roman"/>
          <w:sz w:val="24"/>
          <w:szCs w:val="24"/>
        </w:rPr>
        <w:t>With the negative version, the language will be what negatives to avoid and the investor can invest in anything that the standards do not prohibit. With positive version, the language will be what positives to look for and the investor can only invest in things that the standards affirmatively permit</w:t>
      </w:r>
      <w:r w:rsidR="00796064">
        <w:rPr>
          <w:rFonts w:ascii="Times New Roman" w:hAnsi="Times New Roman" w:cs="Times New Roman"/>
          <w:sz w:val="24"/>
          <w:szCs w:val="24"/>
        </w:rPr>
        <w:t xml:space="preserve">. </w:t>
      </w:r>
      <w:r>
        <w:rPr>
          <w:rFonts w:ascii="Times New Roman" w:hAnsi="Times New Roman" w:cs="Times New Roman"/>
          <w:sz w:val="24"/>
          <w:szCs w:val="24"/>
        </w:rPr>
        <w:t xml:space="preserve">By the nature of things, </w:t>
      </w:r>
      <w:r w:rsidR="00CA6770">
        <w:rPr>
          <w:rFonts w:ascii="Times New Roman" w:hAnsi="Times New Roman" w:cs="Times New Roman"/>
          <w:sz w:val="24"/>
          <w:szCs w:val="24"/>
        </w:rPr>
        <w:t xml:space="preserve">though, positive identity investing </w:t>
      </w:r>
      <w:r>
        <w:rPr>
          <w:rFonts w:ascii="Times New Roman" w:hAnsi="Times New Roman" w:cs="Times New Roman"/>
          <w:sz w:val="24"/>
          <w:szCs w:val="24"/>
        </w:rPr>
        <w:t>is likely to result in a much more restricted list of issuers in which the investor can invest.</w:t>
      </w:r>
    </w:p>
    <w:p w14:paraId="463C5C04" w14:textId="29FECC9D" w:rsidR="00FC39EF" w:rsidRDefault="00FC39EF" w:rsidP="00C3407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most obvious positive identity investors are the green and ESG investment funds. A review of their prospectuses suggest that they confine themselves to investing in certain specified industries or in firms meeting certain positive criteria measured by some kind of indices. </w:t>
      </w:r>
    </w:p>
    <w:p w14:paraId="14A2EE6E" w14:textId="6999A5B4" w:rsidR="00FC39EF" w:rsidRDefault="00FC39EF" w:rsidP="00C34077">
      <w:pPr>
        <w:spacing w:after="0" w:line="480" w:lineRule="auto"/>
        <w:ind w:firstLine="720"/>
        <w:jc w:val="both"/>
        <w:rPr>
          <w:rFonts w:ascii="Times New Roman" w:hAnsi="Times New Roman" w:cs="Times New Roman"/>
          <w:sz w:val="24"/>
          <w:szCs w:val="24"/>
        </w:rPr>
      </w:pPr>
      <w:r w:rsidRPr="002B02B4">
        <w:rPr>
          <w:rFonts w:ascii="Times New Roman" w:hAnsi="Times New Roman" w:cs="Times New Roman"/>
          <w:i/>
          <w:sz w:val="24"/>
          <w:szCs w:val="24"/>
        </w:rPr>
        <w:t>2.</w:t>
      </w:r>
      <w:r>
        <w:rPr>
          <w:rFonts w:ascii="Times New Roman" w:hAnsi="Times New Roman" w:cs="Times New Roman"/>
          <w:i/>
          <w:sz w:val="24"/>
          <w:szCs w:val="24"/>
        </w:rPr>
        <w:t xml:space="preserve"> Transformational investing.</w:t>
      </w:r>
      <w:r>
        <w:rPr>
          <w:rFonts w:ascii="Times New Roman" w:hAnsi="Times New Roman" w:cs="Times New Roman"/>
          <w:sz w:val="24"/>
          <w:szCs w:val="24"/>
        </w:rPr>
        <w:t xml:space="preserve"> The pure transformational </w:t>
      </w:r>
      <w:r w:rsidR="00807A30">
        <w:rPr>
          <w:rFonts w:ascii="Times New Roman" w:hAnsi="Times New Roman" w:cs="Times New Roman"/>
          <w:sz w:val="24"/>
          <w:szCs w:val="24"/>
        </w:rPr>
        <w:t xml:space="preserve">investment </w:t>
      </w:r>
      <w:r>
        <w:rPr>
          <w:rFonts w:ascii="Times New Roman" w:hAnsi="Times New Roman" w:cs="Times New Roman"/>
          <w:sz w:val="24"/>
          <w:szCs w:val="24"/>
        </w:rPr>
        <w:t>route, while conceptually possible, seems unlikely to occur in reality</w:t>
      </w:r>
      <w:r w:rsidR="00CA6770">
        <w:rPr>
          <w:rFonts w:ascii="Times New Roman" w:hAnsi="Times New Roman" w:cs="Times New Roman"/>
          <w:sz w:val="24"/>
          <w:szCs w:val="24"/>
        </w:rPr>
        <w:t xml:space="preserve"> to any significant extent</w:t>
      </w:r>
      <w:r w:rsidR="00796064">
        <w:rPr>
          <w:rFonts w:ascii="Times New Roman" w:hAnsi="Times New Roman" w:cs="Times New Roman"/>
          <w:sz w:val="24"/>
          <w:szCs w:val="24"/>
        </w:rPr>
        <w:t xml:space="preserve">. </w:t>
      </w:r>
      <w:r w:rsidRPr="00D41EE3">
        <w:rPr>
          <w:rFonts w:ascii="Times New Roman" w:hAnsi="Times New Roman" w:cs="Times New Roman"/>
          <w:sz w:val="24"/>
          <w:szCs w:val="24"/>
        </w:rPr>
        <w:t xml:space="preserve">The first thing to note is that </w:t>
      </w:r>
      <w:r>
        <w:rPr>
          <w:rFonts w:ascii="Times New Roman" w:hAnsi="Times New Roman" w:cs="Times New Roman"/>
          <w:sz w:val="24"/>
          <w:szCs w:val="24"/>
        </w:rPr>
        <w:t>it</w:t>
      </w:r>
      <w:r w:rsidRPr="00D41EE3">
        <w:rPr>
          <w:rFonts w:ascii="Times New Roman" w:hAnsi="Times New Roman" w:cs="Times New Roman"/>
          <w:sz w:val="24"/>
          <w:szCs w:val="24"/>
        </w:rPr>
        <w:t xml:space="preserve"> is very unlikely to </w:t>
      </w:r>
      <w:r>
        <w:rPr>
          <w:rFonts w:ascii="Times New Roman" w:hAnsi="Times New Roman" w:cs="Times New Roman"/>
          <w:sz w:val="24"/>
          <w:szCs w:val="24"/>
        </w:rPr>
        <w:t xml:space="preserve">be practiced by </w:t>
      </w:r>
      <w:r w:rsidRPr="00D41EE3">
        <w:rPr>
          <w:rFonts w:ascii="Times New Roman" w:hAnsi="Times New Roman" w:cs="Times New Roman"/>
          <w:sz w:val="24"/>
          <w:szCs w:val="24"/>
        </w:rPr>
        <w:t xml:space="preserve">ordinary </w:t>
      </w:r>
      <w:r>
        <w:rPr>
          <w:rFonts w:ascii="Times New Roman" w:hAnsi="Times New Roman" w:cs="Times New Roman"/>
          <w:sz w:val="24"/>
          <w:szCs w:val="24"/>
        </w:rPr>
        <w:t xml:space="preserve">retail </w:t>
      </w:r>
      <w:r w:rsidRPr="00D41EE3">
        <w:rPr>
          <w:rFonts w:ascii="Times New Roman" w:hAnsi="Times New Roman" w:cs="Times New Roman"/>
          <w:sz w:val="24"/>
          <w:szCs w:val="24"/>
        </w:rPr>
        <w:t>investors buying shares on their own</w:t>
      </w:r>
      <w:r w:rsidR="00796064">
        <w:rPr>
          <w:rFonts w:ascii="Times New Roman" w:hAnsi="Times New Roman" w:cs="Times New Roman"/>
          <w:sz w:val="24"/>
          <w:szCs w:val="24"/>
        </w:rPr>
        <w:t xml:space="preserve">. </w:t>
      </w:r>
      <w:r w:rsidRPr="00D41EE3">
        <w:rPr>
          <w:rFonts w:ascii="Times New Roman" w:hAnsi="Times New Roman" w:cs="Times New Roman"/>
          <w:sz w:val="24"/>
          <w:szCs w:val="24"/>
        </w:rPr>
        <w:t xml:space="preserve">This is because, to be effective, </w:t>
      </w:r>
      <w:r>
        <w:rPr>
          <w:rFonts w:ascii="Times New Roman" w:hAnsi="Times New Roman" w:cs="Times New Roman"/>
          <w:sz w:val="24"/>
          <w:szCs w:val="24"/>
        </w:rPr>
        <w:t xml:space="preserve">there would need to be </w:t>
      </w:r>
      <w:r w:rsidRPr="00D41EE3">
        <w:rPr>
          <w:rFonts w:ascii="Times New Roman" w:hAnsi="Times New Roman" w:cs="Times New Roman"/>
          <w:sz w:val="24"/>
          <w:szCs w:val="24"/>
        </w:rPr>
        <w:t xml:space="preserve">enough shareholders, each acting on </w:t>
      </w:r>
      <w:r>
        <w:rPr>
          <w:rFonts w:ascii="Times New Roman" w:hAnsi="Times New Roman" w:cs="Times New Roman"/>
          <w:sz w:val="24"/>
          <w:szCs w:val="24"/>
        </w:rPr>
        <w:t xml:space="preserve">her </w:t>
      </w:r>
      <w:r w:rsidRPr="00D41EE3">
        <w:rPr>
          <w:rFonts w:ascii="Times New Roman" w:hAnsi="Times New Roman" w:cs="Times New Roman"/>
          <w:sz w:val="24"/>
          <w:szCs w:val="24"/>
        </w:rPr>
        <w:t>own, to do the same thing at about the same time such that they end up constituting a majority of a firm’s shareholders</w:t>
      </w:r>
      <w:r w:rsidR="00CA6770">
        <w:rPr>
          <w:rFonts w:ascii="Times New Roman" w:hAnsi="Times New Roman" w:cs="Times New Roman"/>
          <w:sz w:val="24"/>
          <w:szCs w:val="24"/>
        </w:rPr>
        <w:t>.</w:t>
      </w:r>
      <w:r w:rsidRPr="00D41EE3">
        <w:rPr>
          <w:rFonts w:ascii="Times New Roman" w:hAnsi="Times New Roman" w:cs="Times New Roman"/>
          <w:sz w:val="24"/>
          <w:szCs w:val="24"/>
        </w:rPr>
        <w:t xml:space="preserve"> </w:t>
      </w:r>
      <w:r w:rsidR="00CA6770">
        <w:rPr>
          <w:rFonts w:ascii="Times New Roman" w:hAnsi="Times New Roman" w:cs="Times New Roman"/>
          <w:sz w:val="24"/>
          <w:szCs w:val="24"/>
        </w:rPr>
        <w:t>T</w:t>
      </w:r>
      <w:r w:rsidRPr="00D41EE3">
        <w:rPr>
          <w:rFonts w:ascii="Times New Roman" w:hAnsi="Times New Roman" w:cs="Times New Roman"/>
          <w:sz w:val="24"/>
          <w:szCs w:val="24"/>
        </w:rPr>
        <w:t xml:space="preserve">hen </w:t>
      </w:r>
      <w:r>
        <w:rPr>
          <w:rFonts w:ascii="Times New Roman" w:hAnsi="Times New Roman" w:cs="Times New Roman"/>
          <w:sz w:val="24"/>
          <w:szCs w:val="24"/>
        </w:rPr>
        <w:t xml:space="preserve">these investors would need to </w:t>
      </w:r>
      <w:r w:rsidRPr="00D41EE3">
        <w:rPr>
          <w:rFonts w:ascii="Times New Roman" w:hAnsi="Times New Roman" w:cs="Times New Roman"/>
          <w:sz w:val="24"/>
          <w:szCs w:val="24"/>
        </w:rPr>
        <w:t>be willing to actively involve themselves in the firm’s governance</w:t>
      </w:r>
      <w:r w:rsidR="00796064">
        <w:rPr>
          <w:rFonts w:ascii="Times New Roman" w:hAnsi="Times New Roman" w:cs="Times New Roman"/>
          <w:sz w:val="24"/>
          <w:szCs w:val="24"/>
        </w:rPr>
        <w:t xml:space="preserve">. </w:t>
      </w:r>
      <w:r w:rsidRPr="00D41EE3">
        <w:rPr>
          <w:rFonts w:ascii="Times New Roman" w:hAnsi="Times New Roman" w:cs="Times New Roman"/>
          <w:sz w:val="24"/>
          <w:szCs w:val="24"/>
        </w:rPr>
        <w:t xml:space="preserve">The coordination problems </w:t>
      </w:r>
      <w:r w:rsidR="00CA6770">
        <w:rPr>
          <w:rFonts w:ascii="Times New Roman" w:hAnsi="Times New Roman" w:cs="Times New Roman"/>
          <w:sz w:val="24"/>
          <w:szCs w:val="24"/>
        </w:rPr>
        <w:t xml:space="preserve">for all this </w:t>
      </w:r>
      <w:r w:rsidRPr="00D41EE3">
        <w:rPr>
          <w:rFonts w:ascii="Times New Roman" w:hAnsi="Times New Roman" w:cs="Times New Roman"/>
          <w:sz w:val="24"/>
          <w:szCs w:val="24"/>
        </w:rPr>
        <w:t>are ju</w:t>
      </w:r>
      <w:r>
        <w:rPr>
          <w:rFonts w:ascii="Times New Roman" w:hAnsi="Times New Roman" w:cs="Times New Roman"/>
          <w:sz w:val="24"/>
          <w:szCs w:val="24"/>
        </w:rPr>
        <w:t>st too great</w:t>
      </w:r>
      <w:r w:rsidR="00CA6770">
        <w:rPr>
          <w:rFonts w:ascii="Times New Roman" w:hAnsi="Times New Roman" w:cs="Times New Roman"/>
          <w:sz w:val="24"/>
          <w:szCs w:val="24"/>
        </w:rPr>
        <w:t>.</w:t>
      </w:r>
      <w:r w:rsidRPr="00D41EE3">
        <w:rPr>
          <w:rFonts w:ascii="Times New Roman" w:hAnsi="Times New Roman" w:cs="Times New Roman"/>
          <w:sz w:val="24"/>
          <w:szCs w:val="24"/>
        </w:rPr>
        <w:t xml:space="preserve">  </w:t>
      </w:r>
      <w:r w:rsidR="00CA6770">
        <w:rPr>
          <w:rFonts w:ascii="Times New Roman" w:hAnsi="Times New Roman" w:cs="Times New Roman"/>
          <w:sz w:val="24"/>
          <w:szCs w:val="24"/>
        </w:rPr>
        <w:t>F</w:t>
      </w:r>
      <w:r w:rsidRPr="00D41EE3">
        <w:rPr>
          <w:rFonts w:ascii="Times New Roman" w:hAnsi="Times New Roman" w:cs="Times New Roman"/>
          <w:sz w:val="24"/>
          <w:szCs w:val="24"/>
        </w:rPr>
        <w:t xml:space="preserve">or any given potential individual considering investing for </w:t>
      </w:r>
      <w:r>
        <w:rPr>
          <w:rFonts w:ascii="Times New Roman" w:hAnsi="Times New Roman" w:cs="Times New Roman"/>
          <w:sz w:val="24"/>
          <w:szCs w:val="24"/>
        </w:rPr>
        <w:t xml:space="preserve">transformational reasons, </w:t>
      </w:r>
      <w:r w:rsidRPr="00D41EE3">
        <w:rPr>
          <w:rFonts w:ascii="Times New Roman" w:hAnsi="Times New Roman" w:cs="Times New Roman"/>
          <w:sz w:val="24"/>
          <w:szCs w:val="24"/>
        </w:rPr>
        <w:t xml:space="preserve">unless she has a reasonable expectation that she will be joined </w:t>
      </w:r>
      <w:r>
        <w:rPr>
          <w:rFonts w:ascii="Times New Roman" w:hAnsi="Times New Roman" w:cs="Times New Roman"/>
          <w:sz w:val="24"/>
          <w:szCs w:val="24"/>
        </w:rPr>
        <w:t xml:space="preserve">by enough others to reach a majority, </w:t>
      </w:r>
      <w:r w:rsidRPr="00D41EE3">
        <w:rPr>
          <w:rFonts w:ascii="Times New Roman" w:hAnsi="Times New Roman" w:cs="Times New Roman"/>
          <w:sz w:val="24"/>
          <w:szCs w:val="24"/>
        </w:rPr>
        <w:t>the purchase would just leave her as an isolated owner of shares in a company whose behavior she does not even like</w:t>
      </w:r>
      <w:r w:rsidR="00573F40">
        <w:rPr>
          <w:rFonts w:ascii="Times New Roman" w:hAnsi="Times New Roman" w:cs="Times New Roman"/>
          <w:sz w:val="24"/>
          <w:szCs w:val="24"/>
        </w:rPr>
        <w:t>.</w:t>
      </w:r>
      <w:r w:rsidR="00807A30" w:rsidRPr="00807A30">
        <w:rPr>
          <w:rFonts w:ascii="Times New Roman" w:hAnsi="Times New Roman" w:cs="Times New Roman"/>
          <w:sz w:val="24"/>
          <w:szCs w:val="24"/>
        </w:rPr>
        <w:t xml:space="preserve"> </w:t>
      </w:r>
      <w:r w:rsidR="00573F40">
        <w:rPr>
          <w:rFonts w:ascii="Times New Roman" w:hAnsi="Times New Roman" w:cs="Times New Roman"/>
          <w:sz w:val="24"/>
          <w:szCs w:val="24"/>
        </w:rPr>
        <w:t xml:space="preserve">While </w:t>
      </w:r>
      <w:r w:rsidR="00807A30">
        <w:rPr>
          <w:rFonts w:ascii="Times New Roman" w:hAnsi="Times New Roman" w:cs="Times New Roman"/>
          <w:sz w:val="24"/>
          <w:szCs w:val="24"/>
        </w:rPr>
        <w:t>it certainly might be the case that some investors</w:t>
      </w:r>
      <w:r w:rsidR="00764AE3">
        <w:rPr>
          <w:rFonts w:ascii="Times New Roman" w:hAnsi="Times New Roman" w:cs="Times New Roman"/>
          <w:sz w:val="24"/>
          <w:szCs w:val="24"/>
        </w:rPr>
        <w:t xml:space="preserve"> who would wish to be transformational</w:t>
      </w:r>
      <w:r w:rsidR="00807A30">
        <w:rPr>
          <w:rFonts w:ascii="Times New Roman" w:hAnsi="Times New Roman" w:cs="Times New Roman"/>
          <w:sz w:val="24"/>
          <w:szCs w:val="24"/>
        </w:rPr>
        <w:t xml:space="preserve"> inherently value the act of trying to affect corporate change, whether or not </w:t>
      </w:r>
      <w:r w:rsidR="00807A30">
        <w:rPr>
          <w:rFonts w:ascii="Times New Roman" w:hAnsi="Times New Roman" w:cs="Times New Roman"/>
          <w:sz w:val="24"/>
          <w:szCs w:val="24"/>
        </w:rPr>
        <w:lastRenderedPageBreak/>
        <w:t>successful</w:t>
      </w:r>
      <w:r w:rsidR="00573F40">
        <w:rPr>
          <w:rFonts w:ascii="Times New Roman" w:hAnsi="Times New Roman" w:cs="Times New Roman"/>
          <w:sz w:val="24"/>
          <w:szCs w:val="24"/>
        </w:rPr>
        <w:t xml:space="preserve">, we expect </w:t>
      </w:r>
      <w:r w:rsidR="00DA61C9">
        <w:rPr>
          <w:rFonts w:ascii="Times New Roman" w:hAnsi="Times New Roman" w:cs="Times New Roman"/>
          <w:sz w:val="24"/>
          <w:szCs w:val="24"/>
        </w:rPr>
        <w:t xml:space="preserve">most of these </w:t>
      </w:r>
      <w:r w:rsidR="00573F40">
        <w:rPr>
          <w:rFonts w:ascii="Times New Roman" w:hAnsi="Times New Roman" w:cs="Times New Roman"/>
          <w:sz w:val="24"/>
          <w:szCs w:val="24"/>
        </w:rPr>
        <w:t xml:space="preserve">individuals to channel their reform efforts to other arenas </w:t>
      </w:r>
      <w:r w:rsidR="00DA61C9">
        <w:rPr>
          <w:rFonts w:ascii="Times New Roman" w:hAnsi="Times New Roman" w:cs="Times New Roman"/>
          <w:sz w:val="24"/>
          <w:szCs w:val="24"/>
        </w:rPr>
        <w:t>that may better offer the potential for change</w:t>
      </w:r>
      <w:r w:rsidRPr="00D41EE3">
        <w:rPr>
          <w:rFonts w:ascii="Times New Roman" w:hAnsi="Times New Roman" w:cs="Times New Roman"/>
          <w:sz w:val="24"/>
          <w:szCs w:val="24"/>
        </w:rPr>
        <w:t>.</w:t>
      </w:r>
    </w:p>
    <w:p w14:paraId="49A1B7CB" w14:textId="5D7C3EF1" w:rsidR="00FC39EF" w:rsidRDefault="00FC39EF" w:rsidP="00C34077">
      <w:pPr>
        <w:widowControl w:val="0"/>
        <w:spacing w:after="0" w:line="480" w:lineRule="auto"/>
        <w:ind w:right="90" w:firstLine="720"/>
        <w:jc w:val="both"/>
        <w:rPr>
          <w:rFonts w:ascii="Times New Roman" w:hAnsi="Times New Roman" w:cs="Times New Roman"/>
          <w:sz w:val="24"/>
          <w:szCs w:val="24"/>
        </w:rPr>
      </w:pPr>
      <w:r>
        <w:rPr>
          <w:rFonts w:ascii="Times New Roman" w:hAnsi="Times New Roman" w:cs="Times New Roman"/>
          <w:sz w:val="24"/>
          <w:szCs w:val="24"/>
        </w:rPr>
        <w:t xml:space="preserve">What about </w:t>
      </w:r>
      <w:r w:rsidRPr="00D41EE3">
        <w:rPr>
          <w:rFonts w:ascii="Times New Roman" w:hAnsi="Times New Roman" w:cs="Times New Roman"/>
          <w:sz w:val="24"/>
          <w:szCs w:val="24"/>
        </w:rPr>
        <w:t>some green or other socially oriented investment funds band</w:t>
      </w:r>
      <w:r>
        <w:rPr>
          <w:rFonts w:ascii="Times New Roman" w:hAnsi="Times New Roman" w:cs="Times New Roman"/>
          <w:sz w:val="24"/>
          <w:szCs w:val="24"/>
        </w:rPr>
        <w:t>ing</w:t>
      </w:r>
      <w:r w:rsidRPr="00D41EE3">
        <w:rPr>
          <w:rFonts w:ascii="Times New Roman" w:hAnsi="Times New Roman" w:cs="Times New Roman"/>
          <w:sz w:val="24"/>
          <w:szCs w:val="24"/>
        </w:rPr>
        <w:t xml:space="preserve"> together</w:t>
      </w:r>
      <w:r>
        <w:rPr>
          <w:rFonts w:ascii="Times New Roman" w:hAnsi="Times New Roman" w:cs="Times New Roman"/>
          <w:sz w:val="24"/>
          <w:szCs w:val="24"/>
        </w:rPr>
        <w:t>, perhaps with the help of university and other nonprofit endowments and public pension funds,</w:t>
      </w:r>
      <w:r w:rsidRPr="00D41EE3">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D41EE3">
        <w:rPr>
          <w:rFonts w:ascii="Times New Roman" w:hAnsi="Times New Roman" w:cs="Times New Roman"/>
          <w:sz w:val="24"/>
          <w:szCs w:val="24"/>
        </w:rPr>
        <w:t>accomplish what individual sharehol</w:t>
      </w:r>
      <w:r>
        <w:rPr>
          <w:rFonts w:ascii="Times New Roman" w:hAnsi="Times New Roman" w:cs="Times New Roman"/>
          <w:sz w:val="24"/>
          <w:szCs w:val="24"/>
        </w:rPr>
        <w:t>ders almost certainly could not?</w:t>
      </w:r>
      <w:r w:rsidRPr="00D41EE3">
        <w:rPr>
          <w:rFonts w:ascii="Times New Roman" w:hAnsi="Times New Roman" w:cs="Times New Roman"/>
          <w:sz w:val="24"/>
          <w:szCs w:val="24"/>
        </w:rPr>
        <w:t xml:space="preserve">  </w:t>
      </w:r>
      <w:r>
        <w:rPr>
          <w:rFonts w:ascii="Times New Roman" w:hAnsi="Times New Roman" w:cs="Times New Roman"/>
          <w:sz w:val="24"/>
          <w:szCs w:val="24"/>
        </w:rPr>
        <w:t xml:space="preserve">For such an investment fund, the problem is that as </w:t>
      </w:r>
      <w:r w:rsidR="00CA6770">
        <w:rPr>
          <w:rFonts w:ascii="Times New Roman" w:hAnsi="Times New Roman" w:cs="Times New Roman"/>
          <w:sz w:val="24"/>
          <w:szCs w:val="24"/>
        </w:rPr>
        <w:t xml:space="preserve">it </w:t>
      </w:r>
      <w:r>
        <w:rPr>
          <w:rFonts w:ascii="Times New Roman" w:hAnsi="Times New Roman" w:cs="Times New Roman"/>
          <w:sz w:val="24"/>
          <w:szCs w:val="24"/>
        </w:rPr>
        <w:t>currently market</w:t>
      </w:r>
      <w:r w:rsidR="00CA6770">
        <w:rPr>
          <w:rFonts w:ascii="Times New Roman" w:hAnsi="Times New Roman" w:cs="Times New Roman"/>
          <w:sz w:val="24"/>
          <w:szCs w:val="24"/>
        </w:rPr>
        <w:t xml:space="preserve">s itself, </w:t>
      </w:r>
      <w:r>
        <w:rPr>
          <w:rFonts w:ascii="Times New Roman" w:hAnsi="Times New Roman" w:cs="Times New Roman"/>
          <w:sz w:val="24"/>
          <w:szCs w:val="24"/>
        </w:rPr>
        <w:t xml:space="preserve"> it suggests to prospective investors that </w:t>
      </w:r>
      <w:r w:rsidRPr="00D41EE3">
        <w:rPr>
          <w:rFonts w:ascii="Times New Roman" w:hAnsi="Times New Roman" w:cs="Times New Roman"/>
          <w:sz w:val="24"/>
          <w:szCs w:val="24"/>
        </w:rPr>
        <w:t>the</w:t>
      </w:r>
      <w:r>
        <w:rPr>
          <w:rFonts w:ascii="Times New Roman" w:hAnsi="Times New Roman" w:cs="Times New Roman"/>
          <w:sz w:val="24"/>
          <w:szCs w:val="24"/>
        </w:rPr>
        <w:t xml:space="preserve">ir expected </w:t>
      </w:r>
      <w:r w:rsidRPr="00D41EE3">
        <w:rPr>
          <w:rFonts w:ascii="Times New Roman" w:hAnsi="Times New Roman" w:cs="Times New Roman"/>
          <w:sz w:val="24"/>
          <w:szCs w:val="24"/>
        </w:rPr>
        <w:t>risk-adjusted rate of return</w:t>
      </w:r>
      <w:r>
        <w:rPr>
          <w:rFonts w:ascii="Times New Roman" w:hAnsi="Times New Roman" w:cs="Times New Roman"/>
          <w:sz w:val="24"/>
          <w:szCs w:val="24"/>
        </w:rPr>
        <w:t>,</w:t>
      </w:r>
      <w:r w:rsidRPr="00D41EE3">
        <w:rPr>
          <w:rFonts w:ascii="Times New Roman" w:hAnsi="Times New Roman" w:cs="Times New Roman"/>
          <w:sz w:val="24"/>
          <w:szCs w:val="24"/>
        </w:rPr>
        <w:t xml:space="preserve"> after accounting for fees</w:t>
      </w:r>
      <w:r>
        <w:rPr>
          <w:rFonts w:ascii="Times New Roman" w:hAnsi="Times New Roman" w:cs="Times New Roman"/>
          <w:sz w:val="24"/>
          <w:szCs w:val="24"/>
        </w:rPr>
        <w:t>,</w:t>
      </w:r>
      <w:r w:rsidRPr="00D41EE3">
        <w:rPr>
          <w:rFonts w:ascii="Times New Roman" w:hAnsi="Times New Roman" w:cs="Times New Roman"/>
          <w:sz w:val="24"/>
          <w:szCs w:val="24"/>
        </w:rPr>
        <w:t xml:space="preserve"> </w:t>
      </w:r>
      <w:r>
        <w:rPr>
          <w:rFonts w:ascii="Times New Roman" w:hAnsi="Times New Roman" w:cs="Times New Roman"/>
          <w:sz w:val="24"/>
          <w:szCs w:val="24"/>
        </w:rPr>
        <w:t xml:space="preserve">will approximate what can be expected from an investment in </w:t>
      </w:r>
      <w:r w:rsidRPr="00D41EE3">
        <w:rPr>
          <w:rFonts w:ascii="Times New Roman" w:hAnsi="Times New Roman" w:cs="Times New Roman"/>
          <w:sz w:val="24"/>
          <w:szCs w:val="24"/>
        </w:rPr>
        <w:t>a market-based index fund.</w:t>
      </w:r>
      <w:r>
        <w:rPr>
          <w:rStyle w:val="FootnoteReference"/>
          <w:rFonts w:ascii="Times New Roman" w:hAnsi="Times New Roman" w:cs="Times New Roman"/>
          <w:sz w:val="24"/>
          <w:szCs w:val="24"/>
        </w:rPr>
        <w:footnoteReference w:id="85"/>
      </w:r>
      <w:r>
        <w:rPr>
          <w:rFonts w:ascii="Times New Roman" w:hAnsi="Times New Roman" w:cs="Times New Roman"/>
          <w:sz w:val="24"/>
          <w:szCs w:val="24"/>
        </w:rPr>
        <w:t xml:space="preserve">  However optimistic is the public rhetoric concerning the impact on returns of a proposed socially-oriented change in corporate behavior, the fund managers will need to make a realistic assessment of its impact on share value</w:t>
      </w:r>
      <w:r w:rsidR="00796064">
        <w:rPr>
          <w:rFonts w:ascii="Times New Roman" w:hAnsi="Times New Roman" w:cs="Times New Roman"/>
          <w:sz w:val="24"/>
          <w:szCs w:val="24"/>
        </w:rPr>
        <w:t xml:space="preserve">. </w:t>
      </w:r>
      <w:r>
        <w:rPr>
          <w:rFonts w:ascii="Times New Roman" w:hAnsi="Times New Roman" w:cs="Times New Roman"/>
          <w:sz w:val="24"/>
          <w:szCs w:val="24"/>
        </w:rPr>
        <w:t>If a share value maximizing corporation changes its behavior in a way that significantly deviates from share value maximization, its price will fall commensurately. Purchasing the shares of such a corporation and then inducing to make this change in behavior can be expected to lead to a capital loss. A fund that markets itself as providing something approximating the returns available from a market-based index fund will not last very long if it makes such purchases.</w:t>
      </w:r>
      <w:r>
        <w:rPr>
          <w:rStyle w:val="FootnoteReference"/>
          <w:rFonts w:ascii="Times New Roman" w:hAnsi="Times New Roman" w:cs="Times New Roman"/>
          <w:sz w:val="24"/>
          <w:szCs w:val="24"/>
        </w:rPr>
        <w:footnoteReference w:id="86"/>
      </w:r>
    </w:p>
    <w:p w14:paraId="5C14CBAC" w14:textId="7C13EAE8" w:rsidR="00FC39EF" w:rsidRDefault="00FC39EF" w:rsidP="00C34077">
      <w:pPr>
        <w:widowControl w:val="0"/>
        <w:spacing w:after="0" w:line="480" w:lineRule="auto"/>
        <w:ind w:right="90" w:firstLine="720"/>
        <w:jc w:val="both"/>
        <w:rPr>
          <w:rFonts w:ascii="Times New Roman" w:hAnsi="Times New Roman" w:cs="Times New Roman"/>
          <w:sz w:val="24"/>
          <w:szCs w:val="24"/>
        </w:rPr>
      </w:pPr>
      <w:r>
        <w:rPr>
          <w:rFonts w:ascii="Times New Roman" w:hAnsi="Times New Roman" w:cs="Times New Roman"/>
          <w:sz w:val="24"/>
          <w:szCs w:val="24"/>
        </w:rPr>
        <w:t xml:space="preserve">The trustees of a university, endowed nonprofit, or public pension fund will not be under the same market pressures, but they will still be aware that the capital loss expected to follow such an acquisition will come at the expense of the entity’s primary mission. Also, at least to date, </w:t>
      </w:r>
      <w:r>
        <w:rPr>
          <w:rFonts w:ascii="Times New Roman" w:hAnsi="Times New Roman" w:cs="Times New Roman"/>
          <w:sz w:val="24"/>
          <w:szCs w:val="24"/>
        </w:rPr>
        <w:lastRenderedPageBreak/>
        <w:t xml:space="preserve">the stakeholder and political pressures on them with regard to socially responsible investing have been to divest as a negative identity investor, not acquire as a transformational acquirer. </w:t>
      </w:r>
    </w:p>
    <w:p w14:paraId="52EDB877" w14:textId="733BF4F8" w:rsidR="00FC39EF" w:rsidRDefault="00FC39EF" w:rsidP="00C34077">
      <w:pPr>
        <w:widowControl w:val="0"/>
        <w:spacing w:after="0" w:line="480" w:lineRule="auto"/>
        <w:ind w:right="90" w:firstLine="720"/>
        <w:jc w:val="both"/>
        <w:rPr>
          <w:rFonts w:ascii="Times New Roman" w:hAnsi="Times New Roman" w:cs="Times New Roman"/>
          <w:sz w:val="24"/>
          <w:szCs w:val="24"/>
        </w:rPr>
      </w:pPr>
      <w:r>
        <w:rPr>
          <w:rFonts w:ascii="Times New Roman" w:hAnsi="Times New Roman" w:cs="Times New Roman"/>
          <w:sz w:val="24"/>
          <w:szCs w:val="24"/>
        </w:rPr>
        <w:t>In essence, such a “green activist” effort would be like a traditional proxy fight,</w:t>
      </w:r>
      <w:r w:rsidR="00D94AA8">
        <w:rPr>
          <w:rStyle w:val="FootnoteReference"/>
          <w:rFonts w:ascii="Times New Roman" w:hAnsi="Times New Roman" w:cs="Times New Roman"/>
          <w:sz w:val="24"/>
          <w:szCs w:val="24"/>
        </w:rPr>
        <w:footnoteReference w:id="87"/>
      </w:r>
      <w:r>
        <w:rPr>
          <w:rFonts w:ascii="Times New Roman" w:hAnsi="Times New Roman" w:cs="Times New Roman"/>
          <w:sz w:val="24"/>
          <w:szCs w:val="24"/>
        </w:rPr>
        <w:t xml:space="preserve"> except that the participants, rather than seeking a change in management that they expect will increase share value, will be seeking a change in management (or its policies) that they expect will serve some social aim while in fact decreasing share value</w:t>
      </w:r>
      <w:r w:rsidR="00796064">
        <w:rPr>
          <w:rFonts w:ascii="Times New Roman" w:hAnsi="Times New Roman" w:cs="Times New Roman"/>
          <w:sz w:val="24"/>
          <w:szCs w:val="24"/>
        </w:rPr>
        <w:t xml:space="preserve">. </w:t>
      </w:r>
      <w:r>
        <w:rPr>
          <w:rFonts w:ascii="Times New Roman" w:hAnsi="Times New Roman" w:cs="Times New Roman"/>
          <w:sz w:val="24"/>
          <w:szCs w:val="24"/>
        </w:rPr>
        <w:t>Traditional proxy fights today are very rare, having been replaced by the hostile takeover and the activist hedge fund campaign</w:t>
      </w:r>
      <w:r w:rsidR="00796064">
        <w:rPr>
          <w:rFonts w:ascii="Times New Roman" w:hAnsi="Times New Roman" w:cs="Times New Roman"/>
          <w:sz w:val="24"/>
          <w:szCs w:val="24"/>
        </w:rPr>
        <w:t xml:space="preserve">. </w:t>
      </w:r>
      <w:r>
        <w:rPr>
          <w:rFonts w:ascii="Times New Roman" w:hAnsi="Times New Roman" w:cs="Times New Roman"/>
          <w:sz w:val="24"/>
          <w:szCs w:val="24"/>
        </w:rPr>
        <w:t>This is primarily because costs of running the fight on the insurgent side is too great relative to the potential gain in the value of the instigator’s initial holdings unless they are substantial portion of the total.</w:t>
      </w:r>
    </w:p>
    <w:p w14:paraId="04CA8C8B" w14:textId="2327D279" w:rsidR="00FC39EF" w:rsidRDefault="00FC39EF" w:rsidP="00C34077">
      <w:pPr>
        <w:widowControl w:val="0"/>
        <w:spacing w:after="0" w:line="480" w:lineRule="auto"/>
        <w:ind w:right="90" w:firstLine="720"/>
        <w:jc w:val="both"/>
        <w:rPr>
          <w:rFonts w:ascii="Times New Roman" w:hAnsi="Times New Roman" w:cs="Times New Roman"/>
          <w:sz w:val="24"/>
          <w:szCs w:val="24"/>
        </w:rPr>
      </w:pPr>
      <w:r>
        <w:rPr>
          <w:rFonts w:ascii="Times New Roman" w:hAnsi="Times New Roman" w:cs="Times New Roman"/>
          <w:sz w:val="24"/>
          <w:szCs w:val="24"/>
        </w:rPr>
        <w:t>Here the situation is even more forbidding. Who would be the instigator willing to bear these costs when the result will be a financial loss, not a gain?  And even if there were such an instigator, a</w:t>
      </w:r>
      <w:r w:rsidRPr="00D41EE3">
        <w:rPr>
          <w:rFonts w:ascii="Times New Roman" w:hAnsi="Times New Roman" w:cs="Times New Roman"/>
          <w:sz w:val="24"/>
          <w:szCs w:val="24"/>
        </w:rPr>
        <w:t xml:space="preserve">t the moment, it is not clear that </w:t>
      </w:r>
      <w:r>
        <w:rPr>
          <w:rFonts w:ascii="Times New Roman" w:hAnsi="Times New Roman" w:cs="Times New Roman"/>
          <w:sz w:val="24"/>
          <w:szCs w:val="24"/>
        </w:rPr>
        <w:t>there are institutional investors – green or ESG investment funds, university and non-profit endowments and public pension funds – that are willing to trade off return for furthering some social end and that together possess a sufficiently large portion of most corporations’ share electorates to combine with the instigator to form a majority in favor of the change</w:t>
      </w:r>
      <w:r w:rsidR="00796064">
        <w:rPr>
          <w:rFonts w:ascii="Times New Roman" w:hAnsi="Times New Roman" w:cs="Times New Roman"/>
          <w:sz w:val="24"/>
          <w:szCs w:val="24"/>
        </w:rPr>
        <w:t xml:space="preserve">. </w:t>
      </w:r>
      <w:r w:rsidRPr="00D41EE3">
        <w:rPr>
          <w:rFonts w:ascii="Times New Roman" w:hAnsi="Times New Roman" w:cs="Times New Roman"/>
          <w:sz w:val="24"/>
          <w:szCs w:val="24"/>
        </w:rPr>
        <w:t xml:space="preserve">Also, certain provisions of the Exchange Act constraining and imposing obligations on “control groups” would discourage such activity.  </w:t>
      </w:r>
      <w:r>
        <w:rPr>
          <w:rFonts w:ascii="Times New Roman" w:hAnsi="Times New Roman" w:cs="Times New Roman"/>
          <w:sz w:val="24"/>
          <w:szCs w:val="24"/>
        </w:rPr>
        <w:t>In any event, w</w:t>
      </w:r>
      <w:r w:rsidRPr="00D41EE3">
        <w:rPr>
          <w:rFonts w:ascii="Times New Roman" w:hAnsi="Times New Roman" w:cs="Times New Roman"/>
          <w:sz w:val="24"/>
          <w:szCs w:val="24"/>
        </w:rPr>
        <w:t>e are not aware of any such efforts to date.</w:t>
      </w:r>
      <w:r w:rsidR="00CA6770">
        <w:rPr>
          <w:rFonts w:ascii="Times New Roman" w:hAnsi="Times New Roman" w:cs="Times New Roman"/>
          <w:sz w:val="24"/>
          <w:szCs w:val="24"/>
        </w:rPr>
        <w:t xml:space="preserve">  As for the alternatives, we have already discussed how unlikely </w:t>
      </w:r>
      <w:r w:rsidR="00466EFA">
        <w:rPr>
          <w:rFonts w:ascii="Times New Roman" w:hAnsi="Times New Roman" w:cs="Times New Roman"/>
          <w:sz w:val="24"/>
          <w:szCs w:val="24"/>
        </w:rPr>
        <w:t xml:space="preserve">is </w:t>
      </w:r>
      <w:r w:rsidR="00CA6770">
        <w:rPr>
          <w:rFonts w:ascii="Times New Roman" w:hAnsi="Times New Roman" w:cs="Times New Roman"/>
          <w:sz w:val="24"/>
          <w:szCs w:val="24"/>
        </w:rPr>
        <w:t xml:space="preserve">a hostile tender offer or activist </w:t>
      </w:r>
      <w:r w:rsidR="008C69CC">
        <w:rPr>
          <w:rFonts w:ascii="Times New Roman" w:hAnsi="Times New Roman" w:cs="Times New Roman"/>
          <w:sz w:val="24"/>
          <w:szCs w:val="24"/>
        </w:rPr>
        <w:t>campaign</w:t>
      </w:r>
      <w:r w:rsidR="00CA6770">
        <w:rPr>
          <w:rFonts w:ascii="Times New Roman" w:hAnsi="Times New Roman" w:cs="Times New Roman"/>
          <w:sz w:val="24"/>
          <w:szCs w:val="24"/>
        </w:rPr>
        <w:t xml:space="preserve"> aimed </w:t>
      </w:r>
      <w:r w:rsidR="00466EFA">
        <w:rPr>
          <w:rFonts w:ascii="Times New Roman" w:hAnsi="Times New Roman" w:cs="Times New Roman"/>
          <w:sz w:val="24"/>
          <w:szCs w:val="24"/>
        </w:rPr>
        <w:t>at causing a share</w:t>
      </w:r>
      <w:r w:rsidR="00807A30">
        <w:rPr>
          <w:rFonts w:ascii="Times New Roman" w:hAnsi="Times New Roman" w:cs="Times New Roman"/>
          <w:sz w:val="24"/>
          <w:szCs w:val="24"/>
        </w:rPr>
        <w:t xml:space="preserve"> </w:t>
      </w:r>
      <w:r w:rsidR="00466EFA">
        <w:rPr>
          <w:rFonts w:ascii="Times New Roman" w:hAnsi="Times New Roman" w:cs="Times New Roman"/>
          <w:sz w:val="24"/>
          <w:szCs w:val="24"/>
        </w:rPr>
        <w:t>value</w:t>
      </w:r>
      <w:r w:rsidR="00807A30">
        <w:rPr>
          <w:rFonts w:ascii="Times New Roman" w:hAnsi="Times New Roman" w:cs="Times New Roman"/>
          <w:sz w:val="24"/>
          <w:szCs w:val="24"/>
        </w:rPr>
        <w:t xml:space="preserve"> </w:t>
      </w:r>
      <w:r w:rsidR="00466EFA">
        <w:rPr>
          <w:rFonts w:ascii="Times New Roman" w:hAnsi="Times New Roman" w:cs="Times New Roman"/>
          <w:sz w:val="24"/>
          <w:szCs w:val="24"/>
        </w:rPr>
        <w:t xml:space="preserve">maximizing </w:t>
      </w:r>
      <w:r w:rsidR="00466EFA">
        <w:rPr>
          <w:rFonts w:ascii="Times New Roman" w:hAnsi="Times New Roman" w:cs="Times New Roman"/>
          <w:sz w:val="24"/>
          <w:szCs w:val="24"/>
        </w:rPr>
        <w:lastRenderedPageBreak/>
        <w:t>corporation to</w:t>
      </w:r>
      <w:r w:rsidR="00CA6770">
        <w:rPr>
          <w:rFonts w:ascii="Times New Roman" w:hAnsi="Times New Roman" w:cs="Times New Roman"/>
          <w:sz w:val="24"/>
          <w:szCs w:val="24"/>
        </w:rPr>
        <w:t xml:space="preserve"> </w:t>
      </w:r>
      <w:r w:rsidR="00466EFA">
        <w:rPr>
          <w:rFonts w:ascii="Times New Roman" w:hAnsi="Times New Roman" w:cs="Times New Roman"/>
          <w:sz w:val="24"/>
          <w:szCs w:val="24"/>
        </w:rPr>
        <w:t>change its behavior to deviate in furtherance of some other end.</w:t>
      </w:r>
      <w:r w:rsidR="00466EFA">
        <w:rPr>
          <w:rStyle w:val="FootnoteReference"/>
          <w:rFonts w:ascii="Times New Roman" w:hAnsi="Times New Roman" w:cs="Times New Roman"/>
          <w:sz w:val="24"/>
          <w:szCs w:val="24"/>
        </w:rPr>
        <w:footnoteReference w:id="88"/>
      </w:r>
      <w:r w:rsidR="00CA6770">
        <w:rPr>
          <w:rFonts w:ascii="Times New Roman" w:hAnsi="Times New Roman" w:cs="Times New Roman"/>
          <w:sz w:val="24"/>
          <w:szCs w:val="24"/>
        </w:rPr>
        <w:t xml:space="preserve"> </w:t>
      </w:r>
    </w:p>
    <w:p w14:paraId="697E65C5" w14:textId="77777777" w:rsidR="00FC39EF" w:rsidRDefault="00FC39EF" w:rsidP="00C34077">
      <w:pPr>
        <w:widowControl w:val="0"/>
        <w:spacing w:after="0" w:line="480" w:lineRule="auto"/>
        <w:ind w:right="90" w:firstLine="720"/>
        <w:jc w:val="center"/>
        <w:rPr>
          <w:rFonts w:ascii="Times New Roman" w:hAnsi="Times New Roman" w:cs="Times New Roman"/>
          <w:i/>
          <w:sz w:val="24"/>
          <w:szCs w:val="24"/>
        </w:rPr>
      </w:pPr>
      <w:r>
        <w:rPr>
          <w:rFonts w:ascii="Times New Roman" w:hAnsi="Times New Roman" w:cs="Times New Roman"/>
          <w:i/>
          <w:sz w:val="24"/>
          <w:szCs w:val="24"/>
        </w:rPr>
        <w:t>C. The Impact of Investor Sorting on the Use of the Franchise to Affect Corporate Behavior</w:t>
      </w:r>
    </w:p>
    <w:p w14:paraId="31131607" w14:textId="4DABC64F" w:rsidR="00FC39EF" w:rsidRDefault="00FC39EF" w:rsidP="00C34077">
      <w:pPr>
        <w:widowControl w:val="0"/>
        <w:spacing w:after="0" w:line="480" w:lineRule="auto"/>
        <w:ind w:right="90" w:firstLine="720"/>
        <w:jc w:val="both"/>
        <w:rPr>
          <w:rFonts w:ascii="Times New Roman" w:hAnsi="Times New Roman" w:cs="Times New Roman"/>
          <w:sz w:val="24"/>
          <w:szCs w:val="24"/>
        </w:rPr>
      </w:pPr>
      <w:r>
        <w:rPr>
          <w:rFonts w:ascii="Times New Roman" w:hAnsi="Times New Roman" w:cs="Times New Roman"/>
          <w:sz w:val="24"/>
          <w:szCs w:val="24"/>
        </w:rPr>
        <w:t xml:space="preserve">In Part II, we concluded that it was unlikely under current </w:t>
      </w:r>
      <w:r w:rsidR="00466EFA">
        <w:rPr>
          <w:rFonts w:ascii="Times New Roman" w:hAnsi="Times New Roman" w:cs="Times New Roman"/>
          <w:sz w:val="24"/>
          <w:szCs w:val="24"/>
        </w:rPr>
        <w:t>governance arrangements</w:t>
      </w:r>
      <w:r>
        <w:rPr>
          <w:rFonts w:ascii="Times New Roman" w:hAnsi="Times New Roman" w:cs="Times New Roman"/>
          <w:sz w:val="24"/>
          <w:szCs w:val="24"/>
        </w:rPr>
        <w:t xml:space="preserve"> that the corporate franchise will lead most U.S. dispersed ownership public corporations to deviate significantly from share value maximization in order to further some social end</w:t>
      </w:r>
      <w:r w:rsidR="00796064">
        <w:rPr>
          <w:rFonts w:ascii="Times New Roman" w:hAnsi="Times New Roman" w:cs="Times New Roman"/>
          <w:sz w:val="24"/>
          <w:szCs w:val="24"/>
        </w:rPr>
        <w:t xml:space="preserve">. </w:t>
      </w:r>
      <w:r>
        <w:rPr>
          <w:rFonts w:ascii="Times New Roman" w:hAnsi="Times New Roman" w:cs="Times New Roman"/>
          <w:sz w:val="24"/>
          <w:szCs w:val="24"/>
        </w:rPr>
        <w:t>The analysis there, however, assumed that there was no sorting among public companies in terms of the preferences of their shareholders with regard to the social consequences of the firms’ behaviors</w:t>
      </w:r>
      <w:r w:rsidR="00796064">
        <w:rPr>
          <w:rFonts w:ascii="Times New Roman" w:hAnsi="Times New Roman" w:cs="Times New Roman"/>
          <w:sz w:val="24"/>
          <w:szCs w:val="24"/>
        </w:rPr>
        <w:t xml:space="preserve">. </w:t>
      </w:r>
      <w:r>
        <w:rPr>
          <w:rFonts w:ascii="Times New Roman" w:hAnsi="Times New Roman" w:cs="Times New Roman"/>
          <w:sz w:val="24"/>
          <w:szCs w:val="24"/>
        </w:rPr>
        <w:t>All investors were either profit maximizers or unconstrained investors</w:t>
      </w:r>
      <w:r w:rsidR="00796064">
        <w:rPr>
          <w:rFonts w:ascii="Times New Roman" w:hAnsi="Times New Roman" w:cs="Times New Roman"/>
          <w:sz w:val="24"/>
          <w:szCs w:val="24"/>
        </w:rPr>
        <w:t xml:space="preserve">. </w:t>
      </w:r>
      <w:r>
        <w:rPr>
          <w:rFonts w:ascii="Times New Roman" w:hAnsi="Times New Roman" w:cs="Times New Roman"/>
          <w:sz w:val="24"/>
          <w:szCs w:val="24"/>
        </w:rPr>
        <w:t>How does the discussion here concerning the routes by which sorting might occur – identity investing and transformative investing – change that conclusion</w:t>
      </w:r>
      <w:r w:rsidR="00E558E5">
        <w:rPr>
          <w:rFonts w:ascii="Times New Roman" w:hAnsi="Times New Roman" w:cs="Times New Roman"/>
          <w:sz w:val="24"/>
          <w:szCs w:val="24"/>
        </w:rPr>
        <w:t>?</w:t>
      </w:r>
      <w:r>
        <w:rPr>
          <w:rFonts w:ascii="Times New Roman" w:hAnsi="Times New Roman" w:cs="Times New Roman"/>
          <w:sz w:val="24"/>
          <w:szCs w:val="24"/>
        </w:rPr>
        <w:t xml:space="preserve">  We think surprisingly little.</w:t>
      </w:r>
    </w:p>
    <w:p w14:paraId="4440CDC1" w14:textId="696D91F2" w:rsidR="00FC39EF" w:rsidRDefault="00807A30" w:rsidP="00C34077">
      <w:pPr>
        <w:widowControl w:val="0"/>
        <w:spacing w:after="0" w:line="480" w:lineRule="auto"/>
        <w:ind w:right="90" w:firstLine="720"/>
        <w:jc w:val="both"/>
        <w:rPr>
          <w:rFonts w:ascii="Times New Roman" w:hAnsi="Times New Roman" w:cs="Times New Roman"/>
          <w:sz w:val="24"/>
          <w:szCs w:val="24"/>
        </w:rPr>
      </w:pPr>
      <w:r>
        <w:rPr>
          <w:rFonts w:ascii="Times New Roman" w:hAnsi="Times New Roman" w:cs="Times New Roman"/>
          <w:sz w:val="24"/>
          <w:szCs w:val="24"/>
        </w:rPr>
        <w:t>Holding fixed any price effects caused by investor sor</w:t>
      </w:r>
      <w:r w:rsidR="00764AE3">
        <w:rPr>
          <w:rFonts w:ascii="Times New Roman" w:hAnsi="Times New Roman" w:cs="Times New Roman"/>
          <w:sz w:val="24"/>
          <w:szCs w:val="24"/>
        </w:rPr>
        <w:t>t</w:t>
      </w:r>
      <w:r>
        <w:rPr>
          <w:rFonts w:ascii="Times New Roman" w:hAnsi="Times New Roman" w:cs="Times New Roman"/>
          <w:sz w:val="24"/>
          <w:szCs w:val="24"/>
        </w:rPr>
        <w:t>ing</w:t>
      </w:r>
      <w:r w:rsidR="00764AE3">
        <w:rPr>
          <w:rFonts w:ascii="Times New Roman" w:hAnsi="Times New Roman" w:cs="Times New Roman"/>
          <w:sz w:val="24"/>
          <w:szCs w:val="24"/>
        </w:rPr>
        <w:t xml:space="preserve"> for the moment</w:t>
      </w:r>
      <w:r>
        <w:rPr>
          <w:rFonts w:ascii="Times New Roman" w:hAnsi="Times New Roman" w:cs="Times New Roman"/>
          <w:sz w:val="24"/>
          <w:szCs w:val="24"/>
        </w:rPr>
        <w:t>, c</w:t>
      </w:r>
      <w:r w:rsidR="00FC39EF">
        <w:rPr>
          <w:rFonts w:ascii="Times New Roman" w:hAnsi="Times New Roman" w:cs="Times New Roman"/>
          <w:sz w:val="24"/>
          <w:szCs w:val="24"/>
        </w:rPr>
        <w:t>onsider first negative identity investing</w:t>
      </w:r>
      <w:r w:rsidR="00796064">
        <w:rPr>
          <w:rFonts w:ascii="Times New Roman" w:hAnsi="Times New Roman" w:cs="Times New Roman"/>
          <w:sz w:val="24"/>
          <w:szCs w:val="24"/>
        </w:rPr>
        <w:t xml:space="preserve">. </w:t>
      </w:r>
      <w:r w:rsidR="00FC39EF">
        <w:rPr>
          <w:rFonts w:ascii="Times New Roman" w:hAnsi="Times New Roman" w:cs="Times New Roman"/>
          <w:sz w:val="24"/>
          <w:szCs w:val="24"/>
        </w:rPr>
        <w:t>Self-evidently, if social considerations lead an investor not to invest in a given corporation, this investor’s preferences are not going to lead to any votes being cast in favor of the corporation changing its behavior in the direction of the shareholder’s preferences. Indeed, although we are skeptical it would matter, her negative identity investing could work in the opposite direction: she otherwise might have been a shareholder in the corporation and voted in a way that changed its behavior in the direction of her preferences.</w:t>
      </w:r>
      <w:r w:rsidR="00FC39EF">
        <w:rPr>
          <w:rStyle w:val="FootnoteReference"/>
          <w:rFonts w:ascii="Times New Roman" w:hAnsi="Times New Roman" w:cs="Times New Roman"/>
          <w:sz w:val="24"/>
          <w:szCs w:val="24"/>
        </w:rPr>
        <w:footnoteReference w:id="89"/>
      </w:r>
      <w:r w:rsidR="00FC39EF">
        <w:rPr>
          <w:rFonts w:ascii="Times New Roman" w:hAnsi="Times New Roman" w:cs="Times New Roman"/>
          <w:sz w:val="24"/>
          <w:szCs w:val="24"/>
        </w:rPr>
        <w:t xml:space="preserve">  </w:t>
      </w:r>
    </w:p>
    <w:p w14:paraId="05223C55" w14:textId="51E397A5" w:rsidR="00FC39EF" w:rsidRDefault="00FC39EF" w:rsidP="00C34077">
      <w:pPr>
        <w:widowControl w:val="0"/>
        <w:spacing w:after="0" w:line="480" w:lineRule="auto"/>
        <w:ind w:right="90" w:firstLine="720"/>
        <w:jc w:val="both"/>
        <w:rPr>
          <w:rFonts w:ascii="Times New Roman" w:hAnsi="Times New Roman" w:cs="Times New Roman"/>
          <w:sz w:val="24"/>
          <w:szCs w:val="24"/>
        </w:rPr>
      </w:pPr>
      <w:r>
        <w:rPr>
          <w:rFonts w:ascii="Times New Roman" w:hAnsi="Times New Roman" w:cs="Times New Roman"/>
          <w:sz w:val="24"/>
          <w:szCs w:val="24"/>
        </w:rPr>
        <w:lastRenderedPageBreak/>
        <w:t>Positive identity investing is also unlikely to change the conclusion in Part II</w:t>
      </w:r>
      <w:r w:rsidR="00796064">
        <w:rPr>
          <w:rFonts w:ascii="Times New Roman" w:hAnsi="Times New Roman" w:cs="Times New Roman"/>
          <w:sz w:val="24"/>
          <w:szCs w:val="24"/>
        </w:rPr>
        <w:t xml:space="preserve">. </w:t>
      </w:r>
      <w:r>
        <w:rPr>
          <w:rFonts w:ascii="Times New Roman" w:hAnsi="Times New Roman" w:cs="Times New Roman"/>
          <w:sz w:val="24"/>
          <w:szCs w:val="24"/>
        </w:rPr>
        <w:t>If the shareholder purchases or continues to hold the shares of a corporation whose behavior she approves of, it is already acting in accordance with her preferences and so her vote is not needed</w:t>
      </w:r>
      <w:r w:rsidR="00796064">
        <w:rPr>
          <w:rFonts w:ascii="Times New Roman" w:hAnsi="Times New Roman" w:cs="Times New Roman"/>
          <w:sz w:val="24"/>
          <w:szCs w:val="24"/>
        </w:rPr>
        <w:t xml:space="preserve">. </w:t>
      </w:r>
      <w:r>
        <w:rPr>
          <w:rFonts w:ascii="Times New Roman" w:hAnsi="Times New Roman" w:cs="Times New Roman"/>
          <w:sz w:val="24"/>
          <w:szCs w:val="24"/>
        </w:rPr>
        <w:t>The only time it might matter is if the approved behavior requires a deviation from share value maximization and its continuation becomes under threat, whether by management, a</w:t>
      </w:r>
      <w:r w:rsidR="00E558E5">
        <w:rPr>
          <w:rFonts w:ascii="Times New Roman" w:hAnsi="Times New Roman" w:cs="Times New Roman"/>
          <w:sz w:val="24"/>
          <w:szCs w:val="24"/>
        </w:rPr>
        <w:t>n</w:t>
      </w:r>
      <w:r>
        <w:rPr>
          <w:rFonts w:ascii="Times New Roman" w:hAnsi="Times New Roman" w:cs="Times New Roman"/>
          <w:sz w:val="24"/>
          <w:szCs w:val="24"/>
        </w:rPr>
        <w:t xml:space="preserve"> activist hedge fund campaign, or a hostile takeover attempt</w:t>
      </w:r>
      <w:r w:rsidR="00796064">
        <w:rPr>
          <w:rFonts w:ascii="Times New Roman" w:hAnsi="Times New Roman" w:cs="Times New Roman"/>
          <w:sz w:val="24"/>
          <w:szCs w:val="24"/>
        </w:rPr>
        <w:t xml:space="preserve">. </w:t>
      </w:r>
      <w:r>
        <w:rPr>
          <w:rFonts w:ascii="Times New Roman" w:hAnsi="Times New Roman" w:cs="Times New Roman"/>
          <w:sz w:val="24"/>
          <w:szCs w:val="24"/>
        </w:rPr>
        <w:t>If, because of positive identification investing sorting, enough of its shareholders prefer the continuation of the deviation, their votes could be sufficient to thwart management’s plan to change or the hedge fund’s campaign, and a refusal to sell could thwart any hostile takeover attempt</w:t>
      </w:r>
      <w:r w:rsidR="00796064">
        <w:rPr>
          <w:rFonts w:ascii="Times New Roman" w:hAnsi="Times New Roman" w:cs="Times New Roman"/>
          <w:sz w:val="24"/>
          <w:szCs w:val="24"/>
        </w:rPr>
        <w:t xml:space="preserve">. </w:t>
      </w:r>
      <w:r w:rsidR="00466EFA">
        <w:rPr>
          <w:rFonts w:ascii="Times New Roman" w:hAnsi="Times New Roman" w:cs="Times New Roman"/>
          <w:sz w:val="24"/>
          <w:szCs w:val="24"/>
        </w:rPr>
        <w:t>R</w:t>
      </w:r>
      <w:r>
        <w:rPr>
          <w:rFonts w:ascii="Times New Roman" w:hAnsi="Times New Roman" w:cs="Times New Roman"/>
          <w:sz w:val="24"/>
          <w:szCs w:val="24"/>
        </w:rPr>
        <w:t>esearch does not reveal that this has ever happened to date</w:t>
      </w:r>
      <w:r w:rsidR="00392FA2">
        <w:rPr>
          <w:rFonts w:ascii="Times New Roman" w:hAnsi="Times New Roman" w:cs="Times New Roman"/>
          <w:sz w:val="24"/>
          <w:szCs w:val="24"/>
        </w:rPr>
        <w:t>, however</w:t>
      </w:r>
      <w:r>
        <w:rPr>
          <w:rFonts w:ascii="Times New Roman" w:hAnsi="Times New Roman" w:cs="Times New Roman"/>
          <w:sz w:val="24"/>
          <w:szCs w:val="24"/>
        </w:rPr>
        <w:t xml:space="preserve">. </w:t>
      </w:r>
    </w:p>
    <w:p w14:paraId="0D714CD8" w14:textId="028D0155" w:rsidR="00FC39EF" w:rsidRPr="00D41EE3" w:rsidRDefault="00FC39EF" w:rsidP="00C34077">
      <w:pPr>
        <w:spacing w:after="0" w:line="480" w:lineRule="auto"/>
        <w:ind w:right="90" w:firstLine="720"/>
        <w:jc w:val="both"/>
        <w:rPr>
          <w:rFonts w:ascii="Times New Roman" w:hAnsi="Times New Roman" w:cs="Times New Roman"/>
          <w:b/>
          <w:sz w:val="24"/>
          <w:szCs w:val="24"/>
        </w:rPr>
      </w:pPr>
      <w:r>
        <w:rPr>
          <w:rFonts w:ascii="Times New Roman" w:hAnsi="Times New Roman" w:cs="Times New Roman"/>
          <w:sz w:val="24"/>
          <w:szCs w:val="24"/>
        </w:rPr>
        <w:t>In theory, sorting due to transformative investing will, if it succeeds, by definition alter the conclusions of Part II</w:t>
      </w:r>
      <w:r w:rsidR="00796064">
        <w:rPr>
          <w:rFonts w:ascii="Times New Roman" w:hAnsi="Times New Roman" w:cs="Times New Roman"/>
          <w:sz w:val="24"/>
          <w:szCs w:val="24"/>
        </w:rPr>
        <w:t xml:space="preserve">. </w:t>
      </w:r>
      <w:r>
        <w:rPr>
          <w:rFonts w:ascii="Times New Roman" w:hAnsi="Times New Roman" w:cs="Times New Roman"/>
          <w:sz w:val="24"/>
          <w:szCs w:val="24"/>
        </w:rPr>
        <w:t>The whole point of the strategy is to permit either the threat or actual use of the franchise to change corporate behavior</w:t>
      </w:r>
      <w:r w:rsidR="00796064">
        <w:rPr>
          <w:rFonts w:ascii="Times New Roman" w:hAnsi="Times New Roman" w:cs="Times New Roman"/>
          <w:sz w:val="24"/>
          <w:szCs w:val="24"/>
        </w:rPr>
        <w:t xml:space="preserve">. </w:t>
      </w:r>
      <w:r>
        <w:rPr>
          <w:rFonts w:ascii="Times New Roman" w:hAnsi="Times New Roman" w:cs="Times New Roman"/>
          <w:sz w:val="24"/>
          <w:szCs w:val="24"/>
        </w:rPr>
        <w:t>In reality, however, as we explored above, we see no examples of it and think it is unlikely to occur</w:t>
      </w:r>
      <w:r w:rsidR="00392FA2">
        <w:rPr>
          <w:rFonts w:ascii="Times New Roman" w:hAnsi="Times New Roman" w:cs="Times New Roman"/>
          <w:sz w:val="24"/>
          <w:szCs w:val="24"/>
        </w:rPr>
        <w:t xml:space="preserve"> to any significant extent in the future</w:t>
      </w:r>
      <w:r>
        <w:rPr>
          <w:rFonts w:ascii="Times New Roman" w:hAnsi="Times New Roman" w:cs="Times New Roman"/>
          <w:sz w:val="24"/>
          <w:szCs w:val="24"/>
        </w:rPr>
        <w:t>.</w:t>
      </w:r>
    </w:p>
    <w:p w14:paraId="4E9DA447" w14:textId="77777777" w:rsidR="00FC39EF" w:rsidRDefault="00FC39EF" w:rsidP="00C34077">
      <w:pPr>
        <w:spacing w:after="0" w:line="480" w:lineRule="auto"/>
        <w:ind w:right="90"/>
        <w:jc w:val="center"/>
        <w:rPr>
          <w:rFonts w:ascii="Times New Roman" w:hAnsi="Times New Roman" w:cs="Times New Roman"/>
          <w:sz w:val="24"/>
          <w:szCs w:val="24"/>
        </w:rPr>
      </w:pPr>
      <w:r>
        <w:rPr>
          <w:rFonts w:ascii="Times New Roman" w:hAnsi="Times New Roman" w:cs="Times New Roman"/>
          <w:i/>
          <w:sz w:val="24"/>
          <w:szCs w:val="24"/>
        </w:rPr>
        <w:t>D</w:t>
      </w:r>
      <w:r w:rsidRPr="00D41EE3">
        <w:rPr>
          <w:rFonts w:ascii="Times New Roman" w:hAnsi="Times New Roman" w:cs="Times New Roman"/>
          <w:i/>
          <w:sz w:val="24"/>
          <w:szCs w:val="24"/>
        </w:rPr>
        <w:t>. The Price Effect</w:t>
      </w:r>
      <w:r>
        <w:rPr>
          <w:rFonts w:ascii="Times New Roman" w:hAnsi="Times New Roman" w:cs="Times New Roman"/>
          <w:i/>
          <w:sz w:val="24"/>
          <w:szCs w:val="24"/>
        </w:rPr>
        <w:t xml:space="preserve"> of Investor Sorting</w:t>
      </w:r>
    </w:p>
    <w:p w14:paraId="10B41F46" w14:textId="3C21FE9C" w:rsidR="00FC39EF" w:rsidRPr="00D3412D" w:rsidRDefault="00FC39EF" w:rsidP="00FC39EF">
      <w:pPr>
        <w:spacing w:after="0" w:line="480" w:lineRule="auto"/>
        <w:ind w:right="90" w:firstLine="720"/>
        <w:jc w:val="both"/>
        <w:rPr>
          <w:rFonts w:ascii="Times New Roman" w:hAnsi="Times New Roman" w:cs="Times New Roman"/>
          <w:sz w:val="24"/>
          <w:szCs w:val="24"/>
        </w:rPr>
      </w:pPr>
      <w:r w:rsidRPr="00D3412D">
        <w:rPr>
          <w:rFonts w:ascii="Times New Roman" w:hAnsi="Times New Roman" w:cs="Times New Roman"/>
          <w:sz w:val="24"/>
          <w:szCs w:val="24"/>
        </w:rPr>
        <w:t>In addition to any effects that operate through the franchise, investor sorting also might influence corporate behavior by modifying share prices</w:t>
      </w:r>
      <w:r w:rsidR="00796064">
        <w:rPr>
          <w:rFonts w:ascii="Times New Roman" w:hAnsi="Times New Roman" w:cs="Times New Roman"/>
          <w:sz w:val="24"/>
          <w:szCs w:val="24"/>
        </w:rPr>
        <w:t xml:space="preserve">. </w:t>
      </w:r>
      <w:r w:rsidRPr="00D3412D">
        <w:rPr>
          <w:rFonts w:ascii="Times New Roman" w:hAnsi="Times New Roman" w:cs="Times New Roman"/>
          <w:sz w:val="24"/>
          <w:szCs w:val="24"/>
        </w:rPr>
        <w:t xml:space="preserve">If some investors base their equity positions on considerations beyond share value maximization, then the accompanying preference-based buying and selling decisions of those investors, relative to a world in which there was no investor sorting, could affect the demand of the subject equities and therefore their prices. </w:t>
      </w:r>
      <w:r>
        <w:rPr>
          <w:rFonts w:ascii="Times New Roman" w:hAnsi="Times New Roman" w:cs="Times New Roman"/>
          <w:sz w:val="24"/>
          <w:szCs w:val="24"/>
        </w:rPr>
        <w:t xml:space="preserve">Because, as we have seen in Part II, </w:t>
      </w:r>
      <w:r w:rsidRPr="00D3412D">
        <w:rPr>
          <w:rFonts w:ascii="Times New Roman" w:hAnsi="Times New Roman" w:cs="Times New Roman"/>
          <w:sz w:val="24"/>
          <w:szCs w:val="24"/>
        </w:rPr>
        <w:t xml:space="preserve">share prices are integral to the workings of managerial </w:t>
      </w:r>
      <w:r w:rsidRPr="00D3412D">
        <w:rPr>
          <w:rFonts w:ascii="Times New Roman" w:hAnsi="Times New Roman" w:cs="Times New Roman"/>
          <w:sz w:val="24"/>
          <w:szCs w:val="24"/>
        </w:rPr>
        <w:lastRenderedPageBreak/>
        <w:t>incentive structures</w:t>
      </w:r>
      <w:r>
        <w:rPr>
          <w:rFonts w:ascii="Times New Roman" w:hAnsi="Times New Roman" w:cs="Times New Roman"/>
          <w:sz w:val="24"/>
          <w:szCs w:val="24"/>
        </w:rPr>
        <w:t>,</w:t>
      </w:r>
      <w:r w:rsidRPr="00D3412D">
        <w:rPr>
          <w:rFonts w:ascii="Times New Roman" w:hAnsi="Times New Roman" w:cs="Times New Roman"/>
          <w:sz w:val="24"/>
          <w:szCs w:val="24"/>
          <w:vertAlign w:val="superscript"/>
        </w:rPr>
        <w:footnoteReference w:id="90"/>
      </w:r>
      <w:r>
        <w:rPr>
          <w:rFonts w:ascii="Times New Roman" w:hAnsi="Times New Roman" w:cs="Times New Roman"/>
          <w:sz w:val="24"/>
          <w:szCs w:val="24"/>
        </w:rPr>
        <w:t xml:space="preserve"> a</w:t>
      </w:r>
      <w:r w:rsidRPr="00D3412D">
        <w:rPr>
          <w:rFonts w:ascii="Times New Roman" w:hAnsi="Times New Roman" w:cs="Times New Roman"/>
          <w:sz w:val="24"/>
          <w:szCs w:val="24"/>
        </w:rPr>
        <w:t xml:space="preserve"> linkage between </w:t>
      </w:r>
      <w:r>
        <w:rPr>
          <w:rFonts w:ascii="Times New Roman" w:hAnsi="Times New Roman" w:cs="Times New Roman"/>
          <w:sz w:val="24"/>
          <w:szCs w:val="24"/>
        </w:rPr>
        <w:t xml:space="preserve">a firm’s share price and </w:t>
      </w:r>
      <w:r w:rsidRPr="00D3412D">
        <w:rPr>
          <w:rFonts w:ascii="Times New Roman" w:hAnsi="Times New Roman" w:cs="Times New Roman"/>
          <w:sz w:val="24"/>
          <w:szCs w:val="24"/>
        </w:rPr>
        <w:t xml:space="preserve">the extent to which </w:t>
      </w:r>
      <w:r>
        <w:rPr>
          <w:rFonts w:ascii="Times New Roman" w:hAnsi="Times New Roman" w:cs="Times New Roman"/>
          <w:sz w:val="24"/>
          <w:szCs w:val="24"/>
        </w:rPr>
        <w:t xml:space="preserve">it </w:t>
      </w:r>
      <w:r w:rsidRPr="00D3412D">
        <w:rPr>
          <w:rFonts w:ascii="Times New Roman" w:hAnsi="Times New Roman" w:cs="Times New Roman"/>
          <w:sz w:val="24"/>
          <w:szCs w:val="24"/>
        </w:rPr>
        <w:t xml:space="preserve">adheres to the preferences of the profit sacrificers </w:t>
      </w:r>
      <w:r>
        <w:rPr>
          <w:rFonts w:ascii="Times New Roman" w:hAnsi="Times New Roman" w:cs="Times New Roman"/>
          <w:sz w:val="24"/>
          <w:szCs w:val="24"/>
        </w:rPr>
        <w:t xml:space="preserve">among the economy’s equity investors </w:t>
      </w:r>
      <w:r w:rsidRPr="00D3412D">
        <w:rPr>
          <w:rFonts w:ascii="Times New Roman" w:hAnsi="Times New Roman" w:cs="Times New Roman"/>
          <w:sz w:val="24"/>
          <w:szCs w:val="24"/>
        </w:rPr>
        <w:t xml:space="preserve">could incentivize the firm’s managers to </w:t>
      </w:r>
      <w:r>
        <w:rPr>
          <w:rFonts w:ascii="Times New Roman" w:hAnsi="Times New Roman" w:cs="Times New Roman"/>
          <w:sz w:val="24"/>
          <w:szCs w:val="24"/>
        </w:rPr>
        <w:t xml:space="preserve">adjust the </w:t>
      </w:r>
      <w:r w:rsidRPr="00D3412D">
        <w:rPr>
          <w:rFonts w:ascii="Times New Roman" w:hAnsi="Times New Roman" w:cs="Times New Roman"/>
          <w:sz w:val="24"/>
          <w:szCs w:val="24"/>
        </w:rPr>
        <w:t>firm</w:t>
      </w:r>
      <w:r>
        <w:rPr>
          <w:rFonts w:ascii="Times New Roman" w:hAnsi="Times New Roman" w:cs="Times New Roman"/>
          <w:sz w:val="24"/>
          <w:szCs w:val="24"/>
        </w:rPr>
        <w:t>’s</w:t>
      </w:r>
      <w:r w:rsidRPr="00D3412D">
        <w:rPr>
          <w:rFonts w:ascii="Times New Roman" w:hAnsi="Times New Roman" w:cs="Times New Roman"/>
          <w:sz w:val="24"/>
          <w:szCs w:val="24"/>
        </w:rPr>
        <w:t xml:space="preserve"> behavior </w:t>
      </w:r>
      <w:r>
        <w:rPr>
          <w:rFonts w:ascii="Times New Roman" w:hAnsi="Times New Roman" w:cs="Times New Roman"/>
          <w:sz w:val="24"/>
          <w:szCs w:val="24"/>
        </w:rPr>
        <w:t xml:space="preserve">to be more in line </w:t>
      </w:r>
      <w:r w:rsidRPr="00D3412D">
        <w:rPr>
          <w:rFonts w:ascii="Times New Roman" w:hAnsi="Times New Roman" w:cs="Times New Roman"/>
          <w:sz w:val="24"/>
          <w:szCs w:val="24"/>
        </w:rPr>
        <w:t>with those pr</w:t>
      </w:r>
      <w:r>
        <w:rPr>
          <w:rFonts w:ascii="Times New Roman" w:hAnsi="Times New Roman" w:cs="Times New Roman"/>
          <w:sz w:val="24"/>
          <w:szCs w:val="24"/>
        </w:rPr>
        <w:t>eferences</w:t>
      </w:r>
      <w:r w:rsidR="00796064">
        <w:rPr>
          <w:rFonts w:ascii="Times New Roman" w:hAnsi="Times New Roman" w:cs="Times New Roman"/>
          <w:sz w:val="24"/>
          <w:szCs w:val="24"/>
        </w:rPr>
        <w:t xml:space="preserve">. </w:t>
      </w:r>
      <w:r w:rsidRPr="00D3412D">
        <w:rPr>
          <w:rFonts w:ascii="Times New Roman" w:hAnsi="Times New Roman" w:cs="Times New Roman"/>
          <w:sz w:val="24"/>
          <w:szCs w:val="24"/>
        </w:rPr>
        <w:t xml:space="preserve">Also, a firm’s cost of capital is determined in part by its share price, with an inverse relationship between the two, so investor sorting that causes the share prices of some firms to fall would cause those firms to have a higher cost of capital, relative to other firms. Firms with higher costs of capital on average will implement fewer new </w:t>
      </w:r>
      <w:r w:rsidR="00392FA2">
        <w:rPr>
          <w:rFonts w:ascii="Times New Roman" w:hAnsi="Times New Roman" w:cs="Times New Roman"/>
          <w:sz w:val="24"/>
          <w:szCs w:val="24"/>
        </w:rPr>
        <w:t xml:space="preserve">or replacement </w:t>
      </w:r>
      <w:r w:rsidRPr="00D3412D">
        <w:rPr>
          <w:rFonts w:ascii="Times New Roman" w:hAnsi="Times New Roman" w:cs="Times New Roman"/>
          <w:sz w:val="24"/>
          <w:szCs w:val="24"/>
        </w:rPr>
        <w:t>real investment projects and grow slower relative to firms with  lower costs of capital, all else equal</w:t>
      </w:r>
      <w:r w:rsidR="00392FA2">
        <w:rPr>
          <w:rFonts w:ascii="Times New Roman" w:hAnsi="Times New Roman" w:cs="Times New Roman"/>
          <w:sz w:val="24"/>
          <w:szCs w:val="24"/>
        </w:rPr>
        <w:t>, or actually shrink</w:t>
      </w:r>
      <w:r w:rsidRPr="00D3412D">
        <w:rPr>
          <w:rFonts w:ascii="Times New Roman" w:hAnsi="Times New Roman" w:cs="Times New Roman"/>
          <w:sz w:val="24"/>
          <w:szCs w:val="24"/>
        </w:rPr>
        <w:t>.</w:t>
      </w:r>
    </w:p>
    <w:p w14:paraId="69206DFC" w14:textId="21E18574" w:rsidR="00FC39EF" w:rsidRPr="00D3412D" w:rsidRDefault="00FC39EF" w:rsidP="00FC39EF">
      <w:pPr>
        <w:spacing w:after="0" w:line="480" w:lineRule="auto"/>
        <w:ind w:right="90" w:firstLine="720"/>
        <w:jc w:val="both"/>
        <w:rPr>
          <w:rFonts w:ascii="Times New Roman" w:hAnsi="Times New Roman" w:cs="Times New Roman"/>
          <w:sz w:val="24"/>
          <w:szCs w:val="24"/>
        </w:rPr>
      </w:pPr>
      <w:r>
        <w:rPr>
          <w:rFonts w:ascii="Times New Roman" w:hAnsi="Times New Roman" w:cs="Times New Roman"/>
          <w:sz w:val="24"/>
          <w:szCs w:val="24"/>
        </w:rPr>
        <w:t>In this section, w</w:t>
      </w:r>
      <w:r w:rsidRPr="00D3412D">
        <w:rPr>
          <w:rFonts w:ascii="Times New Roman" w:hAnsi="Times New Roman" w:cs="Times New Roman"/>
          <w:sz w:val="24"/>
          <w:szCs w:val="24"/>
        </w:rPr>
        <w:t xml:space="preserve">e analyze </w:t>
      </w:r>
      <w:r w:rsidR="00392FA2">
        <w:rPr>
          <w:rFonts w:ascii="Times New Roman" w:hAnsi="Times New Roman" w:cs="Times New Roman"/>
          <w:sz w:val="24"/>
          <w:szCs w:val="24"/>
        </w:rPr>
        <w:t xml:space="preserve">this </w:t>
      </w:r>
      <w:r w:rsidRPr="00D3412D">
        <w:rPr>
          <w:rFonts w:ascii="Times New Roman" w:hAnsi="Times New Roman" w:cs="Times New Roman"/>
          <w:sz w:val="24"/>
          <w:szCs w:val="24"/>
        </w:rPr>
        <w:t xml:space="preserve">is potential </w:t>
      </w:r>
      <w:r w:rsidR="00392FA2">
        <w:rPr>
          <w:rFonts w:ascii="Times New Roman" w:hAnsi="Times New Roman" w:cs="Times New Roman"/>
          <w:sz w:val="24"/>
          <w:szCs w:val="24"/>
        </w:rPr>
        <w:t>route by which the non-share</w:t>
      </w:r>
      <w:r w:rsidR="00BA69F6">
        <w:rPr>
          <w:rFonts w:ascii="Times New Roman" w:hAnsi="Times New Roman" w:cs="Times New Roman"/>
          <w:sz w:val="24"/>
          <w:szCs w:val="24"/>
        </w:rPr>
        <w:t xml:space="preserve"> </w:t>
      </w:r>
      <w:r w:rsidR="00392FA2">
        <w:rPr>
          <w:rFonts w:ascii="Times New Roman" w:hAnsi="Times New Roman" w:cs="Times New Roman"/>
          <w:sz w:val="24"/>
          <w:szCs w:val="24"/>
        </w:rPr>
        <w:t xml:space="preserve">value maximizing preferences of some of the economy’s equity investors could </w:t>
      </w:r>
      <w:r w:rsidR="00BA69F6">
        <w:rPr>
          <w:rFonts w:ascii="Times New Roman" w:hAnsi="Times New Roman" w:cs="Times New Roman"/>
          <w:sz w:val="24"/>
          <w:szCs w:val="24"/>
        </w:rPr>
        <w:t xml:space="preserve">alter </w:t>
      </w:r>
      <w:r w:rsidR="00392FA2">
        <w:rPr>
          <w:rFonts w:ascii="Times New Roman" w:hAnsi="Times New Roman" w:cs="Times New Roman"/>
          <w:sz w:val="24"/>
          <w:szCs w:val="24"/>
        </w:rPr>
        <w:t>corporate behavior.</w:t>
      </w:r>
      <w:r w:rsidR="00796064">
        <w:rPr>
          <w:rFonts w:ascii="Times New Roman" w:hAnsi="Times New Roman" w:cs="Times New Roman"/>
          <w:sz w:val="24"/>
          <w:szCs w:val="24"/>
        </w:rPr>
        <w:t xml:space="preserve"> </w:t>
      </w:r>
      <w:r>
        <w:rPr>
          <w:rFonts w:ascii="Times New Roman" w:hAnsi="Times New Roman" w:cs="Times New Roman"/>
          <w:sz w:val="24"/>
          <w:szCs w:val="24"/>
        </w:rPr>
        <w:t xml:space="preserve">Our </w:t>
      </w:r>
      <w:r w:rsidRPr="00D3412D">
        <w:rPr>
          <w:rFonts w:ascii="Times New Roman" w:hAnsi="Times New Roman" w:cs="Times New Roman"/>
          <w:sz w:val="24"/>
          <w:szCs w:val="24"/>
        </w:rPr>
        <w:t>focus</w:t>
      </w:r>
      <w:r>
        <w:rPr>
          <w:rFonts w:ascii="Times New Roman" w:hAnsi="Times New Roman" w:cs="Times New Roman"/>
          <w:sz w:val="24"/>
          <w:szCs w:val="24"/>
        </w:rPr>
        <w:t xml:space="preserve"> will be</w:t>
      </w:r>
      <w:r w:rsidRPr="00D3412D">
        <w:rPr>
          <w:rFonts w:ascii="Times New Roman" w:hAnsi="Times New Roman" w:cs="Times New Roman"/>
          <w:sz w:val="24"/>
          <w:szCs w:val="24"/>
        </w:rPr>
        <w:t xml:space="preserve"> on the particular circumstance in which the profit sacrificers are identity investors </w:t>
      </w:r>
      <w:r>
        <w:rPr>
          <w:rFonts w:ascii="Times New Roman" w:hAnsi="Times New Roman" w:cs="Times New Roman"/>
          <w:sz w:val="24"/>
          <w:szCs w:val="24"/>
        </w:rPr>
        <w:t xml:space="preserve">concerned with mitigating </w:t>
      </w:r>
      <w:r w:rsidRPr="00D3412D">
        <w:rPr>
          <w:rFonts w:ascii="Times New Roman" w:hAnsi="Times New Roman" w:cs="Times New Roman"/>
          <w:sz w:val="24"/>
          <w:szCs w:val="24"/>
        </w:rPr>
        <w:t xml:space="preserve">negative externalities, such as their </w:t>
      </w:r>
      <w:r>
        <w:rPr>
          <w:rFonts w:ascii="Times New Roman" w:hAnsi="Times New Roman" w:cs="Times New Roman"/>
          <w:sz w:val="24"/>
          <w:szCs w:val="24"/>
        </w:rPr>
        <w:t>climate-warming CO</w:t>
      </w:r>
      <w:r>
        <w:rPr>
          <w:rFonts w:ascii="Times New Roman" w:hAnsi="Times New Roman" w:cs="Times New Roman"/>
          <w:sz w:val="24"/>
          <w:szCs w:val="24"/>
          <w:vertAlign w:val="subscript"/>
        </w:rPr>
        <w:t>2</w:t>
      </w:r>
      <w:r>
        <w:rPr>
          <w:rFonts w:ascii="Times New Roman" w:hAnsi="Times New Roman" w:cs="Times New Roman"/>
          <w:sz w:val="24"/>
          <w:szCs w:val="24"/>
        </w:rPr>
        <w:t xml:space="preserve"> omissions, but the analysis could carry over to the presence among the economy’s equity investors of any end involving the sacrifice of firm profits.</w:t>
      </w:r>
      <w:r w:rsidRPr="00D3412D">
        <w:rPr>
          <w:rFonts w:ascii="Times New Roman" w:hAnsi="Times New Roman" w:cs="Times New Roman"/>
          <w:sz w:val="24"/>
          <w:szCs w:val="24"/>
          <w:vertAlign w:val="superscript"/>
        </w:rPr>
        <w:footnoteReference w:id="91"/>
      </w:r>
      <w:r w:rsidRPr="00D3412D">
        <w:rPr>
          <w:rFonts w:ascii="Times New Roman" w:hAnsi="Times New Roman" w:cs="Times New Roman"/>
          <w:sz w:val="24"/>
          <w:szCs w:val="24"/>
        </w:rPr>
        <w:t xml:space="preserve">  To make things concrete, suppose that a set of firms </w:t>
      </w:r>
      <w:r w:rsidRPr="00D3412D">
        <w:rPr>
          <w:rFonts w:ascii="Times New Roman" w:hAnsi="Times New Roman" w:cs="Times New Roman"/>
          <w:sz w:val="24"/>
          <w:szCs w:val="24"/>
        </w:rPr>
        <w:lastRenderedPageBreak/>
        <w:t>each generate an externality in the form of pollution, while all other firms do not pollute. A subset of the economy’s equity investors prefer that the polluting firms reduce their externalities by undertaking some change that would come at the expense of firm profits</w:t>
      </w:r>
      <w:r w:rsidR="00796064">
        <w:rPr>
          <w:rFonts w:ascii="Times New Roman" w:hAnsi="Times New Roman" w:cs="Times New Roman"/>
          <w:sz w:val="24"/>
          <w:szCs w:val="24"/>
        </w:rPr>
        <w:t xml:space="preserve">. </w:t>
      </w:r>
      <w:r w:rsidRPr="00D3412D">
        <w:rPr>
          <w:rFonts w:ascii="Times New Roman" w:hAnsi="Times New Roman" w:cs="Times New Roman"/>
          <w:sz w:val="24"/>
          <w:szCs w:val="24"/>
        </w:rPr>
        <w:t>Further suppose that these profit sacrificers are identity investors, who</w:t>
      </w:r>
      <w:r>
        <w:rPr>
          <w:rFonts w:ascii="Times New Roman" w:hAnsi="Times New Roman" w:cs="Times New Roman"/>
          <w:sz w:val="24"/>
          <w:szCs w:val="24"/>
        </w:rPr>
        <w:t xml:space="preserve"> refuse to include within their portfolios the </w:t>
      </w:r>
      <w:r w:rsidRPr="00D3412D">
        <w:rPr>
          <w:rFonts w:ascii="Times New Roman" w:hAnsi="Times New Roman" w:cs="Times New Roman"/>
          <w:sz w:val="24"/>
          <w:szCs w:val="24"/>
        </w:rPr>
        <w:t>shares of the polluting firms and thus steer all their equity investing dollars toward holding the shares of the rest of the firms in the economy, a</w:t>
      </w:r>
      <w:r>
        <w:rPr>
          <w:rFonts w:ascii="Times New Roman" w:hAnsi="Times New Roman" w:cs="Times New Roman"/>
          <w:sz w:val="24"/>
          <w:szCs w:val="24"/>
        </w:rPr>
        <w:t>n investment approach t</w:t>
      </w:r>
      <w:r w:rsidRPr="00D3412D">
        <w:rPr>
          <w:rFonts w:ascii="Times New Roman" w:hAnsi="Times New Roman" w:cs="Times New Roman"/>
          <w:sz w:val="24"/>
          <w:szCs w:val="24"/>
        </w:rPr>
        <w:t>hat we will label a “divestiture.” The remainder of the economy’s equity investors are profit maximizers.</w:t>
      </w:r>
      <w:bookmarkStart w:id="21" w:name="_Ref178071587"/>
      <w:r w:rsidRPr="00D3412D">
        <w:rPr>
          <w:rFonts w:ascii="Times New Roman" w:hAnsi="Times New Roman" w:cs="Times New Roman"/>
          <w:sz w:val="24"/>
          <w:szCs w:val="24"/>
          <w:vertAlign w:val="superscript"/>
        </w:rPr>
        <w:footnoteReference w:id="92"/>
      </w:r>
      <w:bookmarkEnd w:id="21"/>
    </w:p>
    <w:p w14:paraId="1C28472C" w14:textId="2D417F22" w:rsidR="00FC39EF" w:rsidRPr="00D3412D" w:rsidRDefault="00FC39EF" w:rsidP="00FC39EF">
      <w:pPr>
        <w:spacing w:after="0" w:line="480" w:lineRule="auto"/>
        <w:ind w:right="90" w:firstLine="720"/>
        <w:jc w:val="both"/>
        <w:rPr>
          <w:rFonts w:ascii="Times New Roman" w:hAnsi="Times New Roman" w:cs="Times New Roman"/>
          <w:sz w:val="24"/>
          <w:szCs w:val="24"/>
        </w:rPr>
      </w:pPr>
      <w:r w:rsidRPr="00D3412D">
        <w:rPr>
          <w:rFonts w:ascii="Times New Roman" w:hAnsi="Times New Roman" w:cs="Times New Roman"/>
          <w:sz w:val="24"/>
          <w:szCs w:val="24"/>
        </w:rPr>
        <w:t>At first blush, at least, it is plausible to think that divestiture by the profit sacrificers would reduce demand for the shares of the polluting firms, which, relative to the rest of the firms, would lower the polluting firms’ share prices and raise their respective costs of capital. The desire to get off or stay off the divestiture list</w:t>
      </w:r>
      <w:r>
        <w:rPr>
          <w:rFonts w:ascii="Times New Roman" w:hAnsi="Times New Roman" w:cs="Times New Roman"/>
          <w:sz w:val="24"/>
          <w:szCs w:val="24"/>
        </w:rPr>
        <w:t>s of such investors,</w:t>
      </w:r>
      <w:r w:rsidRPr="00D3412D">
        <w:rPr>
          <w:rFonts w:ascii="Times New Roman" w:hAnsi="Times New Roman" w:cs="Times New Roman"/>
          <w:sz w:val="24"/>
          <w:szCs w:val="24"/>
        </w:rPr>
        <w:t xml:space="preserve"> so as to avoid this price effect</w:t>
      </w:r>
      <w:r>
        <w:rPr>
          <w:rFonts w:ascii="Times New Roman" w:hAnsi="Times New Roman" w:cs="Times New Roman"/>
          <w:sz w:val="24"/>
          <w:szCs w:val="24"/>
        </w:rPr>
        <w:t>,</w:t>
      </w:r>
      <w:r w:rsidRPr="00D3412D">
        <w:rPr>
          <w:rFonts w:ascii="Times New Roman" w:hAnsi="Times New Roman" w:cs="Times New Roman"/>
          <w:sz w:val="24"/>
          <w:szCs w:val="24"/>
        </w:rPr>
        <w:t xml:space="preserve"> might incentivize </w:t>
      </w:r>
      <w:r>
        <w:rPr>
          <w:rFonts w:ascii="Times New Roman" w:hAnsi="Times New Roman" w:cs="Times New Roman"/>
          <w:sz w:val="24"/>
          <w:szCs w:val="24"/>
        </w:rPr>
        <w:t xml:space="preserve">the </w:t>
      </w:r>
      <w:r w:rsidRPr="00D3412D">
        <w:rPr>
          <w:rFonts w:ascii="Times New Roman" w:hAnsi="Times New Roman" w:cs="Times New Roman"/>
          <w:sz w:val="24"/>
          <w:szCs w:val="24"/>
        </w:rPr>
        <w:t xml:space="preserve">managers </w:t>
      </w:r>
      <w:r>
        <w:rPr>
          <w:rFonts w:ascii="Times New Roman" w:hAnsi="Times New Roman" w:cs="Times New Roman"/>
          <w:sz w:val="24"/>
          <w:szCs w:val="24"/>
        </w:rPr>
        <w:t>of firms that are polluting to change their operations</w:t>
      </w:r>
      <w:r w:rsidR="00796064">
        <w:rPr>
          <w:rFonts w:ascii="Times New Roman" w:hAnsi="Times New Roman" w:cs="Times New Roman"/>
          <w:sz w:val="24"/>
          <w:szCs w:val="24"/>
        </w:rPr>
        <w:t xml:space="preserve">. </w:t>
      </w:r>
      <w:r>
        <w:rPr>
          <w:rFonts w:ascii="Times New Roman" w:hAnsi="Times New Roman" w:cs="Times New Roman"/>
          <w:sz w:val="24"/>
          <w:szCs w:val="24"/>
        </w:rPr>
        <w:t>Thus, t</w:t>
      </w:r>
      <w:r w:rsidRPr="00D3412D">
        <w:rPr>
          <w:rFonts w:ascii="Times New Roman" w:hAnsi="Times New Roman" w:cs="Times New Roman"/>
          <w:sz w:val="24"/>
          <w:szCs w:val="24"/>
        </w:rPr>
        <w:t>he managers of any given corporation, in deciding how to use its existing capacity, will be discouraged from starting or continuing uses that pollute</w:t>
      </w:r>
      <w:r w:rsidR="00796064">
        <w:rPr>
          <w:rFonts w:ascii="Times New Roman" w:hAnsi="Times New Roman" w:cs="Times New Roman"/>
          <w:sz w:val="24"/>
          <w:szCs w:val="24"/>
        </w:rPr>
        <w:t xml:space="preserve">. </w:t>
      </w:r>
      <w:r w:rsidRPr="00D3412D">
        <w:rPr>
          <w:rFonts w:ascii="Times New Roman" w:hAnsi="Times New Roman" w:cs="Times New Roman"/>
          <w:sz w:val="24"/>
          <w:szCs w:val="24"/>
        </w:rPr>
        <w:t xml:space="preserve">And the potential effects of polluting on </w:t>
      </w:r>
      <w:r>
        <w:rPr>
          <w:rFonts w:ascii="Times New Roman" w:hAnsi="Times New Roman" w:cs="Times New Roman"/>
          <w:sz w:val="24"/>
          <w:szCs w:val="24"/>
        </w:rPr>
        <w:t xml:space="preserve">the firm’s </w:t>
      </w:r>
      <w:r w:rsidRPr="00D3412D">
        <w:rPr>
          <w:rFonts w:ascii="Times New Roman" w:hAnsi="Times New Roman" w:cs="Times New Roman"/>
          <w:sz w:val="24"/>
          <w:szCs w:val="24"/>
        </w:rPr>
        <w:t>cost of capital might deter the</w:t>
      </w:r>
      <w:r>
        <w:rPr>
          <w:rFonts w:ascii="Times New Roman" w:hAnsi="Times New Roman" w:cs="Times New Roman"/>
          <w:sz w:val="24"/>
          <w:szCs w:val="24"/>
        </w:rPr>
        <w:t xml:space="preserve"> managers </w:t>
      </w:r>
      <w:r w:rsidRPr="00D3412D">
        <w:rPr>
          <w:rFonts w:ascii="Times New Roman" w:hAnsi="Times New Roman" w:cs="Times New Roman"/>
          <w:sz w:val="24"/>
          <w:szCs w:val="24"/>
        </w:rPr>
        <w:t>from implementing new real investment projects that pollute.</w:t>
      </w:r>
    </w:p>
    <w:p w14:paraId="503F28AB" w14:textId="09D38147" w:rsidR="00FC39EF" w:rsidRPr="00D3412D" w:rsidRDefault="00FC39EF" w:rsidP="00FC39EF">
      <w:pPr>
        <w:spacing w:after="0" w:line="480" w:lineRule="auto"/>
        <w:ind w:right="90" w:firstLine="720"/>
        <w:jc w:val="both"/>
        <w:rPr>
          <w:rFonts w:ascii="Times New Roman" w:hAnsi="Times New Roman" w:cs="Times New Roman"/>
          <w:sz w:val="24"/>
          <w:szCs w:val="24"/>
        </w:rPr>
      </w:pPr>
      <w:r w:rsidRPr="00D3412D">
        <w:rPr>
          <w:rFonts w:ascii="Times New Roman" w:hAnsi="Times New Roman" w:cs="Times New Roman"/>
          <w:sz w:val="24"/>
          <w:szCs w:val="24"/>
        </w:rPr>
        <w:t>Economic theory is not clear, however, whether, in equilibrium, there would in fact be a price effect, at least a meaningful one</w:t>
      </w:r>
      <w:r w:rsidR="00796064">
        <w:rPr>
          <w:rFonts w:ascii="Times New Roman" w:hAnsi="Times New Roman" w:cs="Times New Roman"/>
          <w:sz w:val="24"/>
          <w:szCs w:val="24"/>
        </w:rPr>
        <w:t xml:space="preserve">. </w:t>
      </w:r>
      <w:r w:rsidRPr="00D3412D">
        <w:rPr>
          <w:rFonts w:ascii="Times New Roman" w:hAnsi="Times New Roman" w:cs="Times New Roman"/>
          <w:sz w:val="24"/>
          <w:szCs w:val="24"/>
        </w:rPr>
        <w:t xml:space="preserve">One approach to the question, based on arbitrage, suggests </w:t>
      </w:r>
      <w:r w:rsidRPr="00D3412D">
        <w:rPr>
          <w:rFonts w:ascii="Times New Roman" w:hAnsi="Times New Roman" w:cs="Times New Roman"/>
          <w:sz w:val="24"/>
          <w:szCs w:val="24"/>
        </w:rPr>
        <w:lastRenderedPageBreak/>
        <w:t>there would be no such effect.</w:t>
      </w:r>
      <w:r w:rsidRPr="00D3412D">
        <w:rPr>
          <w:rFonts w:ascii="Times New Roman" w:hAnsi="Times New Roman" w:cs="Times New Roman"/>
          <w:sz w:val="24"/>
          <w:szCs w:val="24"/>
          <w:vertAlign w:val="superscript"/>
        </w:rPr>
        <w:footnoteReference w:id="93"/>
      </w:r>
      <w:r w:rsidRPr="00D3412D">
        <w:rPr>
          <w:rFonts w:ascii="Times New Roman" w:hAnsi="Times New Roman" w:cs="Times New Roman"/>
          <w:sz w:val="24"/>
          <w:szCs w:val="24"/>
        </w:rPr>
        <w:t xml:space="preserve">  Return to the example above, but </w:t>
      </w:r>
      <w:r>
        <w:rPr>
          <w:rFonts w:ascii="Times New Roman" w:hAnsi="Times New Roman" w:cs="Times New Roman"/>
          <w:sz w:val="24"/>
          <w:szCs w:val="24"/>
        </w:rPr>
        <w:t xml:space="preserve">take as a starting point that </w:t>
      </w:r>
      <w:r w:rsidR="00BA69F6">
        <w:rPr>
          <w:rFonts w:ascii="Times New Roman" w:hAnsi="Times New Roman" w:cs="Times New Roman"/>
          <w:sz w:val="24"/>
          <w:szCs w:val="24"/>
        </w:rPr>
        <w:t xml:space="preserve">the </w:t>
      </w:r>
      <w:r>
        <w:rPr>
          <w:rFonts w:ascii="Times New Roman" w:hAnsi="Times New Roman" w:cs="Times New Roman"/>
          <w:sz w:val="24"/>
          <w:szCs w:val="24"/>
        </w:rPr>
        <w:t xml:space="preserve">economy’s equity investors either include no </w:t>
      </w:r>
      <w:r w:rsidRPr="00D3412D">
        <w:rPr>
          <w:rFonts w:ascii="Times New Roman" w:hAnsi="Times New Roman" w:cs="Times New Roman"/>
          <w:sz w:val="24"/>
          <w:szCs w:val="24"/>
        </w:rPr>
        <w:t xml:space="preserve">profit sacrificers </w:t>
      </w:r>
      <w:r>
        <w:rPr>
          <w:rFonts w:ascii="Times New Roman" w:hAnsi="Times New Roman" w:cs="Times New Roman"/>
          <w:sz w:val="24"/>
          <w:szCs w:val="24"/>
        </w:rPr>
        <w:t xml:space="preserve">or, as in Part II, if there are profit sacrificers among them, the profit sacrificers </w:t>
      </w:r>
      <w:r w:rsidRPr="00D3412D">
        <w:rPr>
          <w:rFonts w:ascii="Times New Roman" w:hAnsi="Times New Roman" w:cs="Times New Roman"/>
          <w:sz w:val="24"/>
          <w:szCs w:val="24"/>
        </w:rPr>
        <w:t>are all unconstrained investors</w:t>
      </w:r>
      <w:r>
        <w:rPr>
          <w:rFonts w:ascii="Times New Roman" w:hAnsi="Times New Roman" w:cs="Times New Roman"/>
          <w:sz w:val="24"/>
          <w:szCs w:val="24"/>
        </w:rPr>
        <w:t xml:space="preserve">. </w:t>
      </w:r>
      <w:r w:rsidRPr="00D3412D">
        <w:rPr>
          <w:rFonts w:ascii="Times New Roman" w:hAnsi="Times New Roman" w:cs="Times New Roman"/>
          <w:sz w:val="24"/>
          <w:szCs w:val="24"/>
        </w:rPr>
        <w:t>Under modern portfolio theory,  all shareholders will hold fully diversified portfolios comprised of shares in both the polluting firms and the non-polluting firms.</w:t>
      </w:r>
      <w:r w:rsidR="00E41C9D" w:rsidRPr="00D3412D">
        <w:rPr>
          <w:rFonts w:ascii="Times New Roman" w:hAnsi="Times New Roman" w:cs="Times New Roman"/>
          <w:sz w:val="24"/>
          <w:szCs w:val="24"/>
        </w:rPr>
        <w:t xml:space="preserve"> </w:t>
      </w:r>
      <w:r w:rsidRPr="00D3412D">
        <w:rPr>
          <w:rFonts w:ascii="Times New Roman" w:hAnsi="Times New Roman" w:cs="Times New Roman"/>
          <w:sz w:val="24"/>
          <w:szCs w:val="24"/>
        </w:rPr>
        <w:t xml:space="preserve">In this situation, according to </w:t>
      </w:r>
      <w:r>
        <w:rPr>
          <w:rFonts w:ascii="Times New Roman" w:hAnsi="Times New Roman" w:cs="Times New Roman"/>
          <w:sz w:val="24"/>
          <w:szCs w:val="24"/>
        </w:rPr>
        <w:t xml:space="preserve">CAPM and </w:t>
      </w:r>
      <w:r w:rsidRPr="00D3412D">
        <w:rPr>
          <w:rFonts w:ascii="Times New Roman" w:hAnsi="Times New Roman" w:cs="Times New Roman"/>
          <w:sz w:val="24"/>
          <w:szCs w:val="24"/>
        </w:rPr>
        <w:t xml:space="preserve">the </w:t>
      </w:r>
      <w:r>
        <w:rPr>
          <w:rFonts w:ascii="Times New Roman" w:hAnsi="Times New Roman" w:cs="Times New Roman"/>
          <w:sz w:val="24"/>
          <w:szCs w:val="24"/>
        </w:rPr>
        <w:t xml:space="preserve">standard </w:t>
      </w:r>
      <w:r w:rsidRPr="00D3412D">
        <w:rPr>
          <w:rFonts w:ascii="Times New Roman" w:hAnsi="Times New Roman" w:cs="Times New Roman"/>
          <w:sz w:val="24"/>
          <w:szCs w:val="24"/>
        </w:rPr>
        <w:t>model</w:t>
      </w:r>
      <w:r>
        <w:rPr>
          <w:rFonts w:ascii="Times New Roman" w:hAnsi="Times New Roman" w:cs="Times New Roman"/>
          <w:sz w:val="24"/>
          <w:szCs w:val="24"/>
        </w:rPr>
        <w:t xml:space="preserve"> of share pricing</w:t>
      </w:r>
      <w:r w:rsidRPr="00D3412D">
        <w:rPr>
          <w:rFonts w:ascii="Times New Roman" w:hAnsi="Times New Roman" w:cs="Times New Roman"/>
          <w:sz w:val="24"/>
          <w:szCs w:val="24"/>
        </w:rPr>
        <w:t>, each company’s share price would equal the future cash flow expected to be received by the holder of that share discounted to present value at a rate reflecting its systematic riskiness.</w:t>
      </w:r>
    </w:p>
    <w:p w14:paraId="2207FF1D" w14:textId="38A11F64" w:rsidR="00FC39EF" w:rsidRPr="00D3412D" w:rsidRDefault="00FC39EF" w:rsidP="00FC39EF">
      <w:pPr>
        <w:spacing w:after="0" w:line="480" w:lineRule="auto"/>
        <w:ind w:right="90" w:firstLine="720"/>
        <w:jc w:val="both"/>
        <w:rPr>
          <w:rFonts w:ascii="Times New Roman" w:hAnsi="Times New Roman" w:cs="Times New Roman"/>
          <w:sz w:val="24"/>
          <w:szCs w:val="24"/>
        </w:rPr>
      </w:pPr>
      <w:r w:rsidRPr="00D3412D">
        <w:rPr>
          <w:rFonts w:ascii="Times New Roman" w:hAnsi="Times New Roman" w:cs="Times New Roman"/>
          <w:sz w:val="24"/>
          <w:szCs w:val="24"/>
        </w:rPr>
        <w:t>Now, introduce sorting</w:t>
      </w:r>
      <w:r w:rsidR="00796064">
        <w:rPr>
          <w:rFonts w:ascii="Times New Roman" w:hAnsi="Times New Roman" w:cs="Times New Roman"/>
          <w:sz w:val="24"/>
          <w:szCs w:val="24"/>
        </w:rPr>
        <w:t xml:space="preserve">. </w:t>
      </w:r>
      <w:r>
        <w:rPr>
          <w:rFonts w:ascii="Times New Roman" w:hAnsi="Times New Roman" w:cs="Times New Roman"/>
          <w:sz w:val="24"/>
          <w:szCs w:val="24"/>
        </w:rPr>
        <w:t xml:space="preserve">In other words, </w:t>
      </w:r>
      <w:r w:rsidRPr="00D3412D">
        <w:rPr>
          <w:rFonts w:ascii="Times New Roman" w:hAnsi="Times New Roman" w:cs="Times New Roman"/>
          <w:sz w:val="24"/>
          <w:szCs w:val="24"/>
        </w:rPr>
        <w:t xml:space="preserve">suppose that </w:t>
      </w:r>
      <w:r>
        <w:rPr>
          <w:rFonts w:ascii="Times New Roman" w:hAnsi="Times New Roman" w:cs="Times New Roman"/>
          <w:sz w:val="24"/>
          <w:szCs w:val="24"/>
        </w:rPr>
        <w:t>the economy’s equity investors do include</w:t>
      </w:r>
      <w:r w:rsidRPr="00D3412D">
        <w:rPr>
          <w:rFonts w:ascii="Times New Roman" w:hAnsi="Times New Roman" w:cs="Times New Roman"/>
          <w:sz w:val="24"/>
          <w:szCs w:val="24"/>
        </w:rPr>
        <w:t xml:space="preserve"> profit sacrificers </w:t>
      </w:r>
      <w:r>
        <w:rPr>
          <w:rFonts w:ascii="Times New Roman" w:hAnsi="Times New Roman" w:cs="Times New Roman"/>
          <w:sz w:val="24"/>
          <w:szCs w:val="24"/>
        </w:rPr>
        <w:t xml:space="preserve">and some of them start following the identity approach to investing and refuse to continue to include in their portfolios the shares </w:t>
      </w:r>
      <w:r w:rsidRPr="00D3412D">
        <w:rPr>
          <w:rFonts w:ascii="Times New Roman" w:hAnsi="Times New Roman" w:cs="Times New Roman"/>
          <w:sz w:val="24"/>
          <w:szCs w:val="24"/>
        </w:rPr>
        <w:t>of firms engaging in pollution</w:t>
      </w:r>
      <w:r w:rsidR="00796064">
        <w:rPr>
          <w:rFonts w:ascii="Times New Roman" w:hAnsi="Times New Roman" w:cs="Times New Roman"/>
          <w:sz w:val="24"/>
          <w:szCs w:val="24"/>
        </w:rPr>
        <w:t xml:space="preserve">. </w:t>
      </w:r>
      <w:r w:rsidRPr="00D3412D">
        <w:rPr>
          <w:rFonts w:ascii="Times New Roman" w:hAnsi="Times New Roman" w:cs="Times New Roman"/>
          <w:sz w:val="24"/>
          <w:szCs w:val="24"/>
        </w:rPr>
        <w:t>The share prices of polluting firms might initially fall.</w:t>
      </w:r>
      <w:r w:rsidRPr="00D3412D">
        <w:rPr>
          <w:rFonts w:ascii="Times New Roman" w:hAnsi="Times New Roman" w:cs="Times New Roman"/>
          <w:sz w:val="24"/>
          <w:szCs w:val="24"/>
          <w:vertAlign w:val="superscript"/>
        </w:rPr>
        <w:footnoteReference w:id="94"/>
      </w:r>
      <w:r w:rsidRPr="00D3412D">
        <w:rPr>
          <w:rFonts w:ascii="Times New Roman" w:hAnsi="Times New Roman" w:cs="Times New Roman"/>
          <w:sz w:val="24"/>
          <w:szCs w:val="24"/>
        </w:rPr>
        <w:t xml:space="preserve">  This, however, would create a situation where </w:t>
      </w:r>
      <w:r>
        <w:rPr>
          <w:rFonts w:ascii="Times New Roman" w:hAnsi="Times New Roman" w:cs="Times New Roman"/>
          <w:sz w:val="24"/>
          <w:szCs w:val="24"/>
        </w:rPr>
        <w:t xml:space="preserve">a dollar of </w:t>
      </w:r>
      <w:r w:rsidRPr="00D3412D">
        <w:rPr>
          <w:rFonts w:ascii="Times New Roman" w:hAnsi="Times New Roman" w:cs="Times New Roman"/>
          <w:sz w:val="24"/>
          <w:szCs w:val="24"/>
        </w:rPr>
        <w:t xml:space="preserve">expected future cash flow </w:t>
      </w:r>
      <w:r>
        <w:rPr>
          <w:rFonts w:ascii="Times New Roman" w:hAnsi="Times New Roman" w:cs="Times New Roman"/>
          <w:sz w:val="24"/>
          <w:szCs w:val="24"/>
        </w:rPr>
        <w:t xml:space="preserve">is available in the market for less by acquiring shares in the </w:t>
      </w:r>
      <w:r w:rsidRPr="00D3412D">
        <w:rPr>
          <w:rFonts w:ascii="Times New Roman" w:hAnsi="Times New Roman" w:cs="Times New Roman"/>
          <w:sz w:val="24"/>
          <w:szCs w:val="24"/>
        </w:rPr>
        <w:t>polluting firm</w:t>
      </w:r>
      <w:r>
        <w:rPr>
          <w:rFonts w:ascii="Times New Roman" w:hAnsi="Times New Roman" w:cs="Times New Roman"/>
          <w:sz w:val="24"/>
          <w:szCs w:val="24"/>
        </w:rPr>
        <w:t>s</w:t>
      </w:r>
      <w:r w:rsidRPr="00D3412D">
        <w:rPr>
          <w:rFonts w:ascii="Times New Roman" w:hAnsi="Times New Roman" w:cs="Times New Roman"/>
          <w:sz w:val="24"/>
          <w:szCs w:val="24"/>
        </w:rPr>
        <w:t xml:space="preserve"> </w:t>
      </w:r>
      <w:r>
        <w:rPr>
          <w:rFonts w:ascii="Times New Roman" w:hAnsi="Times New Roman" w:cs="Times New Roman"/>
          <w:sz w:val="24"/>
          <w:szCs w:val="24"/>
        </w:rPr>
        <w:t>than by acquiring shares in the non-polluting firms</w:t>
      </w:r>
      <w:r w:rsidR="00796064">
        <w:rPr>
          <w:rFonts w:ascii="Times New Roman" w:hAnsi="Times New Roman" w:cs="Times New Roman"/>
          <w:sz w:val="24"/>
          <w:szCs w:val="24"/>
        </w:rPr>
        <w:t xml:space="preserve">. </w:t>
      </w:r>
      <w:r w:rsidRPr="00D3412D">
        <w:rPr>
          <w:rFonts w:ascii="Times New Roman" w:hAnsi="Times New Roman" w:cs="Times New Roman"/>
          <w:sz w:val="24"/>
          <w:szCs w:val="24"/>
        </w:rPr>
        <w:t>In other words, any investor</w:t>
      </w:r>
      <w:r w:rsidR="00013A34">
        <w:rPr>
          <w:rFonts w:ascii="Times New Roman" w:hAnsi="Times New Roman" w:cs="Times New Roman"/>
          <w:sz w:val="24"/>
          <w:szCs w:val="24"/>
        </w:rPr>
        <w:t xml:space="preserve"> </w:t>
      </w:r>
      <w:r w:rsidRPr="00D3412D">
        <w:rPr>
          <w:rFonts w:ascii="Times New Roman" w:hAnsi="Times New Roman" w:cs="Times New Roman"/>
          <w:sz w:val="24"/>
          <w:szCs w:val="24"/>
        </w:rPr>
        <w:t>can get the same expected future dollar for less by purchasing shares in a polluting firm.</w:t>
      </w:r>
      <w:r w:rsidRPr="00D3412D">
        <w:rPr>
          <w:rFonts w:ascii="Times New Roman" w:hAnsi="Times New Roman" w:cs="Times New Roman"/>
          <w:sz w:val="24"/>
          <w:szCs w:val="24"/>
          <w:vertAlign w:val="superscript"/>
        </w:rPr>
        <w:footnoteReference w:id="95"/>
      </w:r>
      <w:r w:rsidRPr="00D3412D">
        <w:rPr>
          <w:rFonts w:ascii="Times New Roman" w:hAnsi="Times New Roman" w:cs="Times New Roman"/>
          <w:sz w:val="24"/>
          <w:szCs w:val="24"/>
        </w:rPr>
        <w:t xml:space="preserve">  If she held shares in the non-polluting firm, she could sell those and buy shares of the polluting firm representing the same number of future expected dollars</w:t>
      </w:r>
      <w:r w:rsidR="00796064">
        <w:rPr>
          <w:rFonts w:ascii="Times New Roman" w:hAnsi="Times New Roman" w:cs="Times New Roman"/>
          <w:sz w:val="24"/>
          <w:szCs w:val="24"/>
        </w:rPr>
        <w:t xml:space="preserve">. </w:t>
      </w:r>
      <w:r w:rsidRPr="00D3412D">
        <w:rPr>
          <w:rFonts w:ascii="Times New Roman" w:hAnsi="Times New Roman" w:cs="Times New Roman"/>
          <w:sz w:val="24"/>
          <w:szCs w:val="24"/>
        </w:rPr>
        <w:t>This would provide her with the same future cash flow while pocketing the difference in price between the two</w:t>
      </w:r>
      <w:r w:rsidR="00796064">
        <w:rPr>
          <w:rFonts w:ascii="Times New Roman" w:hAnsi="Times New Roman" w:cs="Times New Roman"/>
          <w:sz w:val="24"/>
          <w:szCs w:val="24"/>
        </w:rPr>
        <w:t>.</w:t>
      </w:r>
      <w:r w:rsidR="000949E9">
        <w:rPr>
          <w:rStyle w:val="FootnoteReference"/>
          <w:rFonts w:ascii="Times New Roman" w:hAnsi="Times New Roman" w:cs="Times New Roman"/>
          <w:sz w:val="24"/>
          <w:szCs w:val="24"/>
        </w:rPr>
        <w:footnoteReference w:id="96"/>
      </w:r>
      <w:r w:rsidR="00796064">
        <w:rPr>
          <w:rFonts w:ascii="Times New Roman" w:hAnsi="Times New Roman" w:cs="Times New Roman"/>
          <w:sz w:val="24"/>
          <w:szCs w:val="24"/>
        </w:rPr>
        <w:t xml:space="preserve"> </w:t>
      </w:r>
    </w:p>
    <w:p w14:paraId="27D2D0F5" w14:textId="72C173C1" w:rsidR="00FC39EF" w:rsidRPr="00D3412D" w:rsidRDefault="00FC39EF" w:rsidP="00FC39EF">
      <w:pPr>
        <w:spacing w:after="0" w:line="480" w:lineRule="auto"/>
        <w:ind w:right="90" w:firstLine="720"/>
        <w:jc w:val="both"/>
        <w:rPr>
          <w:rFonts w:ascii="Times New Roman" w:hAnsi="Times New Roman" w:cs="Times New Roman"/>
          <w:sz w:val="24"/>
          <w:szCs w:val="24"/>
        </w:rPr>
      </w:pPr>
      <w:r>
        <w:rPr>
          <w:rFonts w:ascii="Times New Roman" w:hAnsi="Times New Roman" w:cs="Times New Roman"/>
          <w:sz w:val="24"/>
          <w:szCs w:val="24"/>
        </w:rPr>
        <w:lastRenderedPageBreak/>
        <w:t>Consider the market dynamics of this situation</w:t>
      </w:r>
      <w:r w:rsidR="00796064">
        <w:rPr>
          <w:rFonts w:ascii="Times New Roman" w:hAnsi="Times New Roman" w:cs="Times New Roman"/>
          <w:sz w:val="24"/>
          <w:szCs w:val="24"/>
        </w:rPr>
        <w:t xml:space="preserve">. </w:t>
      </w:r>
      <w:r>
        <w:rPr>
          <w:rFonts w:ascii="Times New Roman" w:hAnsi="Times New Roman" w:cs="Times New Roman"/>
          <w:sz w:val="24"/>
          <w:szCs w:val="24"/>
        </w:rPr>
        <w:t>Many attentive investors</w:t>
      </w:r>
      <w:r w:rsidR="00BA69F6">
        <w:rPr>
          <w:rFonts w:ascii="Times New Roman" w:hAnsi="Times New Roman" w:cs="Times New Roman"/>
          <w:sz w:val="24"/>
          <w:szCs w:val="24"/>
        </w:rPr>
        <w:t>,</w:t>
      </w:r>
      <w:r w:rsidR="001C30C6">
        <w:rPr>
          <w:rFonts w:ascii="Times New Roman" w:hAnsi="Times New Roman" w:cs="Times New Roman"/>
          <w:sz w:val="24"/>
          <w:szCs w:val="24"/>
        </w:rPr>
        <w:t xml:space="preserve"> whether </w:t>
      </w:r>
      <w:r w:rsidR="00BA69F6">
        <w:rPr>
          <w:rFonts w:ascii="Times New Roman" w:hAnsi="Times New Roman" w:cs="Times New Roman"/>
          <w:sz w:val="24"/>
          <w:szCs w:val="24"/>
        </w:rPr>
        <w:t xml:space="preserve">they are </w:t>
      </w:r>
      <w:r w:rsidR="001C30C6">
        <w:rPr>
          <w:rFonts w:ascii="Times New Roman" w:hAnsi="Times New Roman" w:cs="Times New Roman"/>
          <w:sz w:val="24"/>
          <w:szCs w:val="24"/>
        </w:rPr>
        <w:t xml:space="preserve">investors who prefer that all firms maximize share value, or ones who do not but are </w:t>
      </w:r>
      <w:r w:rsidR="00BA69F6">
        <w:rPr>
          <w:rFonts w:ascii="Times New Roman" w:hAnsi="Times New Roman" w:cs="Times New Roman"/>
          <w:sz w:val="24"/>
          <w:szCs w:val="24"/>
        </w:rPr>
        <w:t xml:space="preserve">unconstrained </w:t>
      </w:r>
      <w:r w:rsidR="001C30C6">
        <w:rPr>
          <w:rFonts w:ascii="Times New Roman" w:hAnsi="Times New Roman" w:cs="Times New Roman"/>
          <w:sz w:val="24"/>
          <w:szCs w:val="24"/>
        </w:rPr>
        <w:t>in composing their portfolios,</w:t>
      </w:r>
      <w:r>
        <w:rPr>
          <w:rFonts w:ascii="Times New Roman" w:hAnsi="Times New Roman" w:cs="Times New Roman"/>
          <w:sz w:val="24"/>
          <w:szCs w:val="24"/>
        </w:rPr>
        <w:t xml:space="preserve"> </w:t>
      </w:r>
      <w:r w:rsidRPr="00D3412D">
        <w:rPr>
          <w:rFonts w:ascii="Times New Roman" w:hAnsi="Times New Roman" w:cs="Times New Roman"/>
          <w:sz w:val="24"/>
          <w:szCs w:val="24"/>
        </w:rPr>
        <w:t>would sell shares of non-polluting firms and buy shares of polluting firms, resulting in a narrowing of the difference in share prices of the two firm types</w:t>
      </w:r>
      <w:r w:rsidR="00796064">
        <w:rPr>
          <w:rFonts w:ascii="Times New Roman" w:hAnsi="Times New Roman" w:cs="Times New Roman"/>
          <w:sz w:val="24"/>
          <w:szCs w:val="24"/>
        </w:rPr>
        <w:t xml:space="preserve">. </w:t>
      </w:r>
      <w:r w:rsidRPr="00D3412D">
        <w:rPr>
          <w:rFonts w:ascii="Times New Roman" w:hAnsi="Times New Roman" w:cs="Times New Roman"/>
          <w:sz w:val="24"/>
          <w:szCs w:val="24"/>
        </w:rPr>
        <w:t xml:space="preserve">Further, </w:t>
      </w:r>
      <w:r>
        <w:rPr>
          <w:rFonts w:ascii="Times New Roman" w:hAnsi="Times New Roman" w:cs="Times New Roman"/>
          <w:sz w:val="24"/>
          <w:szCs w:val="24"/>
        </w:rPr>
        <w:t xml:space="preserve">professional arbitrageurs would </w:t>
      </w:r>
      <w:r w:rsidRPr="00D3412D">
        <w:rPr>
          <w:rFonts w:ascii="Times New Roman" w:hAnsi="Times New Roman" w:cs="Times New Roman"/>
          <w:sz w:val="24"/>
          <w:szCs w:val="24"/>
        </w:rPr>
        <w:t xml:space="preserve">sell short </w:t>
      </w:r>
      <w:r>
        <w:rPr>
          <w:rFonts w:ascii="Times New Roman" w:hAnsi="Times New Roman" w:cs="Times New Roman"/>
          <w:sz w:val="24"/>
          <w:szCs w:val="24"/>
        </w:rPr>
        <w:t xml:space="preserve">the </w:t>
      </w:r>
      <w:r w:rsidRPr="00D3412D">
        <w:rPr>
          <w:rFonts w:ascii="Times New Roman" w:hAnsi="Times New Roman" w:cs="Times New Roman"/>
          <w:sz w:val="24"/>
          <w:szCs w:val="24"/>
        </w:rPr>
        <w:t>shares of the non-polluting firm and buying long ones of the polluting firm</w:t>
      </w:r>
      <w:r w:rsidR="00796064">
        <w:rPr>
          <w:rFonts w:ascii="Times New Roman" w:hAnsi="Times New Roman" w:cs="Times New Roman"/>
          <w:sz w:val="24"/>
          <w:szCs w:val="24"/>
        </w:rPr>
        <w:t xml:space="preserve">. </w:t>
      </w:r>
      <w:r w:rsidRPr="00D3412D">
        <w:rPr>
          <w:rFonts w:ascii="Times New Roman" w:hAnsi="Times New Roman" w:cs="Times New Roman"/>
          <w:sz w:val="24"/>
          <w:szCs w:val="24"/>
        </w:rPr>
        <w:t xml:space="preserve">By doing so, </w:t>
      </w:r>
      <w:r>
        <w:rPr>
          <w:rFonts w:ascii="Times New Roman" w:hAnsi="Times New Roman" w:cs="Times New Roman"/>
          <w:sz w:val="24"/>
          <w:szCs w:val="24"/>
        </w:rPr>
        <w:t>they</w:t>
      </w:r>
      <w:r w:rsidRPr="00D3412D">
        <w:rPr>
          <w:rFonts w:ascii="Times New Roman" w:hAnsi="Times New Roman" w:cs="Times New Roman"/>
          <w:sz w:val="24"/>
          <w:szCs w:val="24"/>
        </w:rPr>
        <w:t xml:space="preserve"> would be hedged in terms of future cash flow while again being able to pocket the difference in price between the two companies’ shares</w:t>
      </w:r>
      <w:r w:rsidR="00796064">
        <w:rPr>
          <w:rFonts w:ascii="Times New Roman" w:hAnsi="Times New Roman" w:cs="Times New Roman"/>
          <w:sz w:val="24"/>
          <w:szCs w:val="24"/>
        </w:rPr>
        <w:t xml:space="preserve">. </w:t>
      </w:r>
      <w:r w:rsidRPr="00D3412D">
        <w:rPr>
          <w:rFonts w:ascii="Times New Roman" w:hAnsi="Times New Roman" w:cs="Times New Roman"/>
          <w:sz w:val="24"/>
          <w:szCs w:val="24"/>
        </w:rPr>
        <w:t>T</w:t>
      </w:r>
      <w:r w:rsidR="00BA69F6">
        <w:rPr>
          <w:rFonts w:ascii="Times New Roman" w:hAnsi="Times New Roman" w:cs="Times New Roman"/>
          <w:sz w:val="24"/>
          <w:szCs w:val="24"/>
        </w:rPr>
        <w:t>he resulting narrowing of the gap in the firms’ share prices caused by these activities</w:t>
      </w:r>
      <w:r w:rsidRPr="00D3412D">
        <w:rPr>
          <w:rFonts w:ascii="Times New Roman" w:hAnsi="Times New Roman" w:cs="Times New Roman"/>
          <w:sz w:val="24"/>
          <w:szCs w:val="24"/>
        </w:rPr>
        <w:t xml:space="preserve"> would be expected to continue until an equilibrium is reached whereby the price of an expected future dollar is the same for both kinds of firms</w:t>
      </w:r>
      <w:r w:rsidR="00796064">
        <w:rPr>
          <w:rFonts w:ascii="Times New Roman" w:hAnsi="Times New Roman" w:cs="Times New Roman"/>
          <w:sz w:val="24"/>
          <w:szCs w:val="24"/>
        </w:rPr>
        <w:t>.</w:t>
      </w:r>
      <w:r w:rsidR="00BA69F6">
        <w:rPr>
          <w:rStyle w:val="FootnoteReference"/>
          <w:rFonts w:ascii="Times New Roman" w:hAnsi="Times New Roman" w:cs="Times New Roman"/>
          <w:sz w:val="24"/>
          <w:szCs w:val="24"/>
        </w:rPr>
        <w:footnoteReference w:id="97"/>
      </w:r>
      <w:r w:rsidR="00796064">
        <w:rPr>
          <w:rFonts w:ascii="Times New Roman" w:hAnsi="Times New Roman" w:cs="Times New Roman"/>
          <w:sz w:val="24"/>
          <w:szCs w:val="24"/>
        </w:rPr>
        <w:t xml:space="preserve"> </w:t>
      </w:r>
      <w:r w:rsidRPr="00D3412D">
        <w:rPr>
          <w:rFonts w:ascii="Times New Roman" w:hAnsi="Times New Roman" w:cs="Times New Roman"/>
          <w:sz w:val="24"/>
          <w:szCs w:val="24"/>
        </w:rPr>
        <w:t xml:space="preserve">In essence, the wedge between the polluting firms’ equity prices and the firms’ fundamental value that developed when the boycott first occurred would incentivize </w:t>
      </w:r>
      <w:r w:rsidR="001C30C6">
        <w:rPr>
          <w:rFonts w:ascii="Times New Roman" w:hAnsi="Times New Roman" w:cs="Times New Roman"/>
          <w:sz w:val="24"/>
          <w:szCs w:val="24"/>
        </w:rPr>
        <w:t xml:space="preserve">the </w:t>
      </w:r>
      <w:r w:rsidRPr="00D3412D">
        <w:rPr>
          <w:rFonts w:ascii="Times New Roman" w:hAnsi="Times New Roman" w:cs="Times New Roman"/>
          <w:sz w:val="24"/>
          <w:szCs w:val="24"/>
        </w:rPr>
        <w:t xml:space="preserve">purchase </w:t>
      </w:r>
      <w:r w:rsidR="001C30C6">
        <w:rPr>
          <w:rFonts w:ascii="Times New Roman" w:hAnsi="Times New Roman" w:cs="Times New Roman"/>
          <w:sz w:val="24"/>
          <w:szCs w:val="24"/>
        </w:rPr>
        <w:t xml:space="preserve">of </w:t>
      </w:r>
      <w:r w:rsidRPr="00D3412D">
        <w:rPr>
          <w:rFonts w:ascii="Times New Roman" w:hAnsi="Times New Roman" w:cs="Times New Roman"/>
          <w:sz w:val="24"/>
          <w:szCs w:val="24"/>
        </w:rPr>
        <w:t>shares of the polluting firms, which would cause those firms’ share prices to rise and, eventually, revert in equilibrium to their original levels.</w:t>
      </w:r>
      <w:r w:rsidRPr="00D3412D">
        <w:rPr>
          <w:rFonts w:ascii="Times New Roman" w:hAnsi="Times New Roman" w:cs="Times New Roman"/>
          <w:sz w:val="24"/>
          <w:szCs w:val="24"/>
          <w:vertAlign w:val="superscript"/>
        </w:rPr>
        <w:footnoteReference w:id="98"/>
      </w:r>
      <w:r w:rsidRPr="00D3412D">
        <w:rPr>
          <w:rFonts w:ascii="Times New Roman" w:hAnsi="Times New Roman" w:cs="Times New Roman"/>
          <w:sz w:val="24"/>
          <w:szCs w:val="24"/>
        </w:rPr>
        <w:t xml:space="preserve">   </w:t>
      </w:r>
    </w:p>
    <w:p w14:paraId="5DA6FD2D" w14:textId="13FEE6F9" w:rsidR="00FC39EF" w:rsidRPr="00D3412D" w:rsidRDefault="00FC39EF" w:rsidP="00FC39EF">
      <w:pPr>
        <w:spacing w:after="0" w:line="480" w:lineRule="auto"/>
        <w:ind w:right="90" w:firstLine="720"/>
        <w:jc w:val="both"/>
        <w:rPr>
          <w:rFonts w:ascii="Times New Roman" w:hAnsi="Times New Roman" w:cs="Times New Roman"/>
          <w:sz w:val="24"/>
          <w:szCs w:val="24"/>
        </w:rPr>
      </w:pPr>
      <w:r w:rsidRPr="00D3412D">
        <w:rPr>
          <w:rFonts w:ascii="Times New Roman" w:hAnsi="Times New Roman" w:cs="Times New Roman"/>
          <w:sz w:val="24"/>
          <w:szCs w:val="24"/>
        </w:rPr>
        <w:t xml:space="preserve">More nuanced financial models, however, do predict that sorting arising from an anti-pollution divestiture might in fact have some kind of enduring price impact, with the open questions being rather what is the size of that impact and how </w:t>
      </w:r>
      <w:r w:rsidR="001C30C6">
        <w:rPr>
          <w:rFonts w:ascii="Times New Roman" w:hAnsi="Times New Roman" w:cs="Times New Roman"/>
          <w:sz w:val="24"/>
          <w:szCs w:val="24"/>
        </w:rPr>
        <w:t xml:space="preserve">a price impact of any given size </w:t>
      </w:r>
      <w:r w:rsidRPr="00D3412D">
        <w:rPr>
          <w:rFonts w:ascii="Times New Roman" w:hAnsi="Times New Roman" w:cs="Times New Roman"/>
          <w:sz w:val="24"/>
          <w:szCs w:val="24"/>
        </w:rPr>
        <w:t xml:space="preserve">might affect firm behavior. Consider, for instance, the model developed by Berk and </w:t>
      </w:r>
      <w:r w:rsidRPr="00D3412D">
        <w:rPr>
          <w:rFonts w:ascii="Times New Roman" w:hAnsi="Times New Roman" w:cs="Times New Roman"/>
          <w:sz w:val="24"/>
          <w:szCs w:val="24"/>
        </w:rPr>
        <w:lastRenderedPageBreak/>
        <w:t>Binsbergen.</w:t>
      </w:r>
      <w:r w:rsidRPr="00D3412D">
        <w:rPr>
          <w:rFonts w:ascii="Times New Roman" w:hAnsi="Times New Roman" w:cs="Times New Roman"/>
          <w:sz w:val="24"/>
          <w:szCs w:val="24"/>
          <w:vertAlign w:val="superscript"/>
        </w:rPr>
        <w:footnoteReference w:id="99"/>
      </w:r>
      <w:r w:rsidRPr="00D3412D">
        <w:rPr>
          <w:rFonts w:ascii="Times New Roman" w:hAnsi="Times New Roman" w:cs="Times New Roman"/>
          <w:sz w:val="24"/>
          <w:szCs w:val="24"/>
        </w:rPr>
        <w:t xml:space="preserve"> As in our example here, their model postulates two types of firms—clean firms and dirty firms—and two types of investors—so-called </w:t>
      </w:r>
      <w:r>
        <w:rPr>
          <w:rFonts w:ascii="Times New Roman" w:hAnsi="Times New Roman" w:cs="Times New Roman"/>
          <w:sz w:val="24"/>
          <w:szCs w:val="24"/>
        </w:rPr>
        <w:t>“</w:t>
      </w:r>
      <w:r w:rsidRPr="00D3412D">
        <w:rPr>
          <w:rFonts w:ascii="Times New Roman" w:hAnsi="Times New Roman" w:cs="Times New Roman"/>
          <w:sz w:val="24"/>
          <w:szCs w:val="24"/>
        </w:rPr>
        <w:t>ESG investors,</w:t>
      </w:r>
      <w:r>
        <w:rPr>
          <w:rFonts w:ascii="Times New Roman" w:hAnsi="Times New Roman" w:cs="Times New Roman"/>
          <w:sz w:val="24"/>
          <w:szCs w:val="24"/>
        </w:rPr>
        <w:t>”</w:t>
      </w:r>
      <w:r w:rsidRPr="00D3412D">
        <w:rPr>
          <w:rFonts w:ascii="Times New Roman" w:hAnsi="Times New Roman" w:cs="Times New Roman"/>
          <w:sz w:val="24"/>
          <w:szCs w:val="24"/>
        </w:rPr>
        <w:t xml:space="preserve"> whose preferences are such that they only hold shares of clean firms, and other investors, who hold shares in all firms, both clean and dirty.</w:t>
      </w:r>
      <w:r w:rsidRPr="00D3412D">
        <w:rPr>
          <w:rFonts w:ascii="Times New Roman" w:hAnsi="Times New Roman" w:cs="Times New Roman"/>
          <w:sz w:val="24"/>
          <w:szCs w:val="24"/>
          <w:vertAlign w:val="superscript"/>
        </w:rPr>
        <w:t xml:space="preserve"> </w:t>
      </w:r>
      <w:r w:rsidRPr="00D3412D">
        <w:rPr>
          <w:rFonts w:ascii="Times New Roman" w:hAnsi="Times New Roman" w:cs="Times New Roman"/>
          <w:sz w:val="24"/>
          <w:szCs w:val="24"/>
          <w:vertAlign w:val="superscript"/>
        </w:rPr>
        <w:footnoteReference w:id="100"/>
      </w:r>
      <w:r w:rsidRPr="00D3412D">
        <w:rPr>
          <w:rFonts w:ascii="Times New Roman" w:hAnsi="Times New Roman" w:cs="Times New Roman"/>
          <w:sz w:val="24"/>
          <w:szCs w:val="24"/>
        </w:rPr>
        <w:t xml:space="preserve">   </w:t>
      </w:r>
    </w:p>
    <w:p w14:paraId="6A4B8DB3" w14:textId="2599AA70" w:rsidR="00FC39EF" w:rsidRPr="00D3412D" w:rsidRDefault="00FC39EF" w:rsidP="00FC39EF">
      <w:pPr>
        <w:spacing w:after="0" w:line="480" w:lineRule="auto"/>
        <w:ind w:right="90" w:firstLine="720"/>
        <w:jc w:val="both"/>
        <w:rPr>
          <w:rFonts w:ascii="Times New Roman" w:hAnsi="Times New Roman" w:cs="Times New Roman"/>
          <w:sz w:val="24"/>
          <w:szCs w:val="24"/>
        </w:rPr>
      </w:pPr>
      <w:r w:rsidRPr="00D3412D">
        <w:rPr>
          <w:rFonts w:ascii="Times New Roman" w:hAnsi="Times New Roman" w:cs="Times New Roman"/>
          <w:sz w:val="24"/>
          <w:szCs w:val="24"/>
        </w:rPr>
        <w:t xml:space="preserve">Berk and Binsbergen’s model is based on the sensible notion that for an ESG investor to successfully divest, other investors must be willing to </w:t>
      </w:r>
      <w:r>
        <w:rPr>
          <w:rFonts w:ascii="Times New Roman" w:hAnsi="Times New Roman" w:cs="Times New Roman"/>
          <w:sz w:val="24"/>
          <w:szCs w:val="24"/>
        </w:rPr>
        <w:t>absorb</w:t>
      </w:r>
      <w:r w:rsidRPr="00D3412D">
        <w:rPr>
          <w:rFonts w:ascii="Times New Roman" w:hAnsi="Times New Roman" w:cs="Times New Roman"/>
          <w:sz w:val="24"/>
          <w:szCs w:val="24"/>
        </w:rPr>
        <w:t xml:space="preserve"> the divested shares instead</w:t>
      </w:r>
      <w:r w:rsidR="00796064">
        <w:rPr>
          <w:rFonts w:ascii="Times New Roman" w:hAnsi="Times New Roman" w:cs="Times New Roman"/>
          <w:sz w:val="24"/>
          <w:szCs w:val="24"/>
        </w:rPr>
        <w:t xml:space="preserve">. </w:t>
      </w:r>
      <w:r w:rsidRPr="00D3412D">
        <w:rPr>
          <w:rFonts w:ascii="Times New Roman" w:hAnsi="Times New Roman" w:cs="Times New Roman"/>
          <w:sz w:val="24"/>
          <w:szCs w:val="24"/>
        </w:rPr>
        <w:t>Holding these divested shares causes the absorbing investors to become less effectively diversified, in that their portfolios will be over-weighted in shares of polluting firm</w:t>
      </w:r>
      <w:r>
        <w:rPr>
          <w:rFonts w:ascii="Times New Roman" w:hAnsi="Times New Roman" w:cs="Times New Roman"/>
          <w:sz w:val="24"/>
          <w:szCs w:val="24"/>
        </w:rPr>
        <w:t>s</w:t>
      </w:r>
      <w:r w:rsidRPr="00D3412D">
        <w:rPr>
          <w:rFonts w:ascii="Times New Roman" w:hAnsi="Times New Roman" w:cs="Times New Roman"/>
          <w:sz w:val="24"/>
          <w:szCs w:val="24"/>
        </w:rPr>
        <w:t xml:space="preserve"> relative to the ratio of the </w:t>
      </w:r>
      <w:r>
        <w:rPr>
          <w:rFonts w:ascii="Times New Roman" w:hAnsi="Times New Roman" w:cs="Times New Roman"/>
          <w:sz w:val="24"/>
          <w:szCs w:val="24"/>
        </w:rPr>
        <w:t xml:space="preserve">polluting </w:t>
      </w:r>
      <w:r w:rsidRPr="00D3412D">
        <w:rPr>
          <w:rFonts w:ascii="Times New Roman" w:hAnsi="Times New Roman" w:cs="Times New Roman"/>
          <w:sz w:val="24"/>
          <w:szCs w:val="24"/>
        </w:rPr>
        <w:t>firms</w:t>
      </w:r>
      <w:r>
        <w:rPr>
          <w:rFonts w:ascii="Times New Roman" w:hAnsi="Times New Roman" w:cs="Times New Roman"/>
          <w:sz w:val="24"/>
          <w:szCs w:val="24"/>
        </w:rPr>
        <w:t>’ aggregate</w:t>
      </w:r>
      <w:r w:rsidRPr="00D3412D">
        <w:rPr>
          <w:rFonts w:ascii="Times New Roman" w:hAnsi="Times New Roman" w:cs="Times New Roman"/>
          <w:sz w:val="24"/>
          <w:szCs w:val="24"/>
        </w:rPr>
        <w:t xml:space="preserve"> capitalization to that of the market as a whole.</w:t>
      </w:r>
      <w:r w:rsidRPr="00D3412D">
        <w:rPr>
          <w:rFonts w:ascii="Times New Roman" w:hAnsi="Times New Roman" w:cs="Times New Roman"/>
          <w:sz w:val="24"/>
          <w:szCs w:val="24"/>
          <w:vertAlign w:val="superscript"/>
        </w:rPr>
        <w:footnoteReference w:id="101"/>
      </w:r>
      <w:r w:rsidRPr="00D3412D">
        <w:rPr>
          <w:rFonts w:ascii="Times New Roman" w:hAnsi="Times New Roman" w:cs="Times New Roman"/>
          <w:sz w:val="24"/>
          <w:szCs w:val="24"/>
        </w:rPr>
        <w:t xml:space="preserve">  This needed loss of diversification creates the linkage between the divestiture and the discount rate for the dirty firm’s future cash flows</w:t>
      </w:r>
      <w:r w:rsidR="00796064">
        <w:rPr>
          <w:rFonts w:ascii="Times New Roman" w:hAnsi="Times New Roman" w:cs="Times New Roman"/>
          <w:sz w:val="24"/>
          <w:szCs w:val="24"/>
        </w:rPr>
        <w:t xml:space="preserve">. </w:t>
      </w:r>
      <w:r w:rsidRPr="00D3412D">
        <w:rPr>
          <w:rFonts w:ascii="Times New Roman" w:hAnsi="Times New Roman" w:cs="Times New Roman"/>
          <w:sz w:val="24"/>
          <w:szCs w:val="24"/>
        </w:rPr>
        <w:t>In essence, because the non-ESG investors, to absorb the divested shares, will become less effectively diversified, th</w:t>
      </w:r>
      <w:r w:rsidR="00BA69F6">
        <w:rPr>
          <w:rFonts w:ascii="Times New Roman" w:hAnsi="Times New Roman" w:cs="Times New Roman"/>
          <w:sz w:val="24"/>
          <w:szCs w:val="24"/>
        </w:rPr>
        <w:t>ose</w:t>
      </w:r>
      <w:r w:rsidRPr="00D3412D">
        <w:rPr>
          <w:rFonts w:ascii="Times New Roman" w:hAnsi="Times New Roman" w:cs="Times New Roman"/>
          <w:sz w:val="24"/>
          <w:szCs w:val="24"/>
        </w:rPr>
        <w:t xml:space="preserve"> shares must be priced lower relative to their expected future cash flows in order to induce the non-ESG investors to hold them. </w:t>
      </w:r>
    </w:p>
    <w:p w14:paraId="6F87EA82" w14:textId="3E55D4C1" w:rsidR="00FC39EF" w:rsidRPr="00D3412D" w:rsidRDefault="00FC39EF" w:rsidP="00FC39EF">
      <w:pPr>
        <w:spacing w:after="0" w:line="480" w:lineRule="auto"/>
        <w:ind w:right="90" w:firstLine="720"/>
        <w:jc w:val="both"/>
        <w:rPr>
          <w:rFonts w:ascii="Times New Roman" w:hAnsi="Times New Roman" w:cs="Times New Roman"/>
          <w:sz w:val="24"/>
          <w:szCs w:val="24"/>
        </w:rPr>
      </w:pPr>
      <w:r w:rsidRPr="00D3412D">
        <w:rPr>
          <w:rFonts w:ascii="Times New Roman" w:hAnsi="Times New Roman" w:cs="Times New Roman"/>
          <w:sz w:val="24"/>
          <w:szCs w:val="24"/>
        </w:rPr>
        <w:t>Berk and Binsbergen’s model predicts that the boycott it models generates some effect on the dirty firms’ stock price and cost of capital, but there remains the empirical question of whether the effect is meaningful</w:t>
      </w:r>
      <w:r w:rsidR="00796064">
        <w:rPr>
          <w:rFonts w:ascii="Times New Roman" w:hAnsi="Times New Roman" w:cs="Times New Roman"/>
          <w:sz w:val="24"/>
          <w:szCs w:val="24"/>
        </w:rPr>
        <w:t xml:space="preserve">. </w:t>
      </w:r>
      <w:r w:rsidRPr="00D3412D">
        <w:rPr>
          <w:rFonts w:ascii="Times New Roman" w:hAnsi="Times New Roman" w:cs="Times New Roman"/>
          <w:sz w:val="24"/>
          <w:szCs w:val="24"/>
        </w:rPr>
        <w:t>They go on to parameterize their model with current observables and conclude that the effect of a boycott on the price of the dirty firm’s stock price is too low to be of significance in influencing the dirty firms’ managers. A primary reason is that the prices of the stocks in the real world of firms that they label as dirty</w:t>
      </w:r>
      <w:r>
        <w:rPr>
          <w:rFonts w:ascii="Times New Roman" w:hAnsi="Times New Roman" w:cs="Times New Roman"/>
          <w:sz w:val="24"/>
          <w:szCs w:val="24"/>
        </w:rPr>
        <w:t xml:space="preserve"> </w:t>
      </w:r>
      <w:r w:rsidRPr="00D3412D">
        <w:rPr>
          <w:rFonts w:ascii="Times New Roman" w:hAnsi="Times New Roman" w:cs="Times New Roman"/>
          <w:sz w:val="24"/>
          <w:szCs w:val="24"/>
        </w:rPr>
        <w:t>and those of the ones that they label as clean</w:t>
      </w:r>
      <w:r>
        <w:rPr>
          <w:rFonts w:ascii="Times New Roman" w:hAnsi="Times New Roman" w:cs="Times New Roman"/>
          <w:sz w:val="24"/>
          <w:szCs w:val="24"/>
        </w:rPr>
        <w:t xml:space="preserve"> </w:t>
      </w:r>
      <w:r w:rsidRPr="00D3412D">
        <w:rPr>
          <w:rFonts w:ascii="Times New Roman" w:hAnsi="Times New Roman" w:cs="Times New Roman"/>
          <w:sz w:val="24"/>
          <w:szCs w:val="24"/>
        </w:rPr>
        <w:t>are, when each is bundled together, highly correlated</w:t>
      </w:r>
      <w:r w:rsidR="00796064">
        <w:rPr>
          <w:rFonts w:ascii="Times New Roman" w:hAnsi="Times New Roman" w:cs="Times New Roman"/>
          <w:sz w:val="24"/>
          <w:szCs w:val="24"/>
        </w:rPr>
        <w:t xml:space="preserve">. </w:t>
      </w:r>
      <w:r w:rsidRPr="00D3412D">
        <w:rPr>
          <w:rFonts w:ascii="Times New Roman" w:hAnsi="Times New Roman" w:cs="Times New Roman"/>
          <w:sz w:val="24"/>
          <w:szCs w:val="24"/>
        </w:rPr>
        <w:t xml:space="preserve">Thus, when the non-ESG investors purchase the boycotted stock from the ESG investors, they do not lose much of the benefits of </w:t>
      </w:r>
      <w:r w:rsidRPr="00D3412D">
        <w:rPr>
          <w:rFonts w:ascii="Times New Roman" w:hAnsi="Times New Roman" w:cs="Times New Roman"/>
          <w:sz w:val="24"/>
          <w:szCs w:val="24"/>
        </w:rPr>
        <w:lastRenderedPageBreak/>
        <w:t xml:space="preserve">diversification and, for this reason, are willing to </w:t>
      </w:r>
      <w:r>
        <w:rPr>
          <w:rFonts w:ascii="Times New Roman" w:hAnsi="Times New Roman" w:cs="Times New Roman"/>
          <w:sz w:val="24"/>
          <w:szCs w:val="24"/>
        </w:rPr>
        <w:t xml:space="preserve">hold at a very minor discount </w:t>
      </w:r>
      <w:r w:rsidRPr="00D3412D">
        <w:rPr>
          <w:rFonts w:ascii="Times New Roman" w:hAnsi="Times New Roman" w:cs="Times New Roman"/>
          <w:sz w:val="24"/>
          <w:szCs w:val="24"/>
        </w:rPr>
        <w:t xml:space="preserve">the dirty stock </w:t>
      </w:r>
      <w:r>
        <w:rPr>
          <w:rFonts w:ascii="Times New Roman" w:hAnsi="Times New Roman" w:cs="Times New Roman"/>
          <w:sz w:val="24"/>
          <w:szCs w:val="24"/>
        </w:rPr>
        <w:t xml:space="preserve">that the </w:t>
      </w:r>
      <w:r w:rsidRPr="00D3412D">
        <w:rPr>
          <w:rFonts w:ascii="Times New Roman" w:hAnsi="Times New Roman" w:cs="Times New Roman"/>
          <w:sz w:val="24"/>
          <w:szCs w:val="24"/>
        </w:rPr>
        <w:t xml:space="preserve">ESG investors </w:t>
      </w:r>
      <w:r>
        <w:rPr>
          <w:rFonts w:ascii="Times New Roman" w:hAnsi="Times New Roman" w:cs="Times New Roman"/>
          <w:sz w:val="24"/>
          <w:szCs w:val="24"/>
        </w:rPr>
        <w:t>are unwilling to hold.</w:t>
      </w:r>
      <w:bookmarkStart w:id="22" w:name="_Ref178073136"/>
      <w:r w:rsidRPr="00D3412D">
        <w:rPr>
          <w:rFonts w:ascii="Times New Roman" w:hAnsi="Times New Roman" w:cs="Times New Roman"/>
          <w:sz w:val="24"/>
          <w:szCs w:val="24"/>
          <w:vertAlign w:val="superscript"/>
        </w:rPr>
        <w:footnoteReference w:id="102"/>
      </w:r>
      <w:bookmarkEnd w:id="22"/>
      <w:r w:rsidRPr="00D3412D">
        <w:rPr>
          <w:rFonts w:ascii="Times New Roman" w:hAnsi="Times New Roman" w:cs="Times New Roman"/>
          <w:sz w:val="24"/>
          <w:szCs w:val="24"/>
        </w:rPr>
        <w:t xml:space="preserve"> </w:t>
      </w:r>
    </w:p>
    <w:p w14:paraId="4C3C7F4D" w14:textId="01EA4156" w:rsidR="00FC39EF" w:rsidRPr="00D3412D" w:rsidRDefault="00FC39EF" w:rsidP="00FC39EF">
      <w:pPr>
        <w:spacing w:after="0" w:line="480" w:lineRule="auto"/>
        <w:ind w:right="90" w:firstLine="720"/>
        <w:jc w:val="both"/>
        <w:rPr>
          <w:rFonts w:ascii="Times New Roman" w:hAnsi="Times New Roman" w:cs="Times New Roman"/>
          <w:sz w:val="24"/>
          <w:szCs w:val="24"/>
        </w:rPr>
      </w:pPr>
      <w:r w:rsidRPr="00D3412D">
        <w:rPr>
          <w:rFonts w:ascii="Times New Roman" w:hAnsi="Times New Roman" w:cs="Times New Roman"/>
          <w:sz w:val="24"/>
          <w:szCs w:val="24"/>
        </w:rPr>
        <w:t>When Berk and Binsbergen parameterize the model’s variables including the degree of risk substitutability between the shares of dirty firms and the shares of clean firms as measured by the correlation between the returns of dirty and clean firms, they find that the ESG investors’ divestiture of dirty firms only raises the cost of capital and discount rate of those firms by 0.44 basis points (less than one half of one hundredth of one percent).</w:t>
      </w:r>
      <w:r w:rsidRPr="00D3412D">
        <w:rPr>
          <w:rFonts w:ascii="Times New Roman" w:hAnsi="Times New Roman" w:cs="Times New Roman"/>
          <w:sz w:val="24"/>
          <w:szCs w:val="24"/>
          <w:vertAlign w:val="superscript"/>
        </w:rPr>
        <w:footnoteReference w:id="103"/>
      </w:r>
      <w:r w:rsidRPr="00D3412D">
        <w:rPr>
          <w:rFonts w:ascii="Times New Roman" w:hAnsi="Times New Roman" w:cs="Times New Roman"/>
          <w:sz w:val="24"/>
          <w:szCs w:val="24"/>
        </w:rPr>
        <w:t xml:space="preserve">  They take this effect to be trivial and it would be hard to argue otherwise.</w:t>
      </w:r>
      <w:r w:rsidRPr="00D3412D">
        <w:rPr>
          <w:rFonts w:ascii="Times New Roman" w:hAnsi="Times New Roman" w:cs="Times New Roman"/>
          <w:sz w:val="24"/>
          <w:szCs w:val="24"/>
          <w:vertAlign w:val="superscript"/>
        </w:rPr>
        <w:footnoteReference w:id="104"/>
      </w:r>
      <w:r w:rsidRPr="00D3412D">
        <w:rPr>
          <w:rFonts w:ascii="Times New Roman" w:hAnsi="Times New Roman" w:cs="Times New Roman"/>
          <w:sz w:val="24"/>
          <w:szCs w:val="24"/>
        </w:rPr>
        <w:t xml:space="preserve">  So the ultimate takeaway from their work is that their model shows it </w:t>
      </w:r>
      <w:r w:rsidR="00BA69F6">
        <w:rPr>
          <w:rFonts w:ascii="Times New Roman" w:hAnsi="Times New Roman" w:cs="Times New Roman"/>
          <w:sz w:val="24"/>
          <w:szCs w:val="24"/>
        </w:rPr>
        <w:t xml:space="preserve">is </w:t>
      </w:r>
      <w:r w:rsidRPr="00D3412D">
        <w:rPr>
          <w:rFonts w:ascii="Times New Roman" w:hAnsi="Times New Roman" w:cs="Times New Roman"/>
          <w:sz w:val="24"/>
          <w:szCs w:val="24"/>
        </w:rPr>
        <w:t>theoretically possible that divestiture of the sort hypothesized in the example here could result in a meaningful price effect</w:t>
      </w:r>
      <w:r>
        <w:rPr>
          <w:rFonts w:ascii="Times New Roman" w:hAnsi="Times New Roman" w:cs="Times New Roman"/>
          <w:sz w:val="24"/>
          <w:szCs w:val="24"/>
        </w:rPr>
        <w:t>,</w:t>
      </w:r>
      <w:r w:rsidRPr="00D3412D">
        <w:rPr>
          <w:rFonts w:ascii="Times New Roman" w:hAnsi="Times New Roman" w:cs="Times New Roman"/>
          <w:sz w:val="24"/>
          <w:szCs w:val="24"/>
        </w:rPr>
        <w:t xml:space="preserve"> but that their attempt at measuring this empirically does not provide support for the idea that identity investors are currently having a meaningful price impact</w:t>
      </w:r>
      <w:r w:rsidR="00796064">
        <w:rPr>
          <w:rFonts w:ascii="Times New Roman" w:hAnsi="Times New Roman" w:cs="Times New Roman"/>
          <w:sz w:val="24"/>
          <w:szCs w:val="24"/>
        </w:rPr>
        <w:t xml:space="preserve">. </w:t>
      </w:r>
      <w:r w:rsidRPr="00D3412D">
        <w:rPr>
          <w:rFonts w:ascii="Times New Roman" w:hAnsi="Times New Roman" w:cs="Times New Roman"/>
          <w:sz w:val="24"/>
          <w:szCs w:val="24"/>
        </w:rPr>
        <w:t xml:space="preserve"> </w:t>
      </w:r>
    </w:p>
    <w:p w14:paraId="47EC9366" w14:textId="31C4249B" w:rsidR="00FC39EF" w:rsidRPr="00D3412D" w:rsidRDefault="00FC39EF" w:rsidP="00FC39EF">
      <w:pPr>
        <w:spacing w:after="0" w:line="480" w:lineRule="auto"/>
        <w:ind w:right="90" w:firstLine="720"/>
        <w:jc w:val="both"/>
        <w:rPr>
          <w:rFonts w:ascii="Times New Roman" w:hAnsi="Times New Roman" w:cs="Times New Roman"/>
          <w:sz w:val="24"/>
          <w:szCs w:val="24"/>
        </w:rPr>
      </w:pPr>
      <w:r w:rsidRPr="00D3412D">
        <w:rPr>
          <w:rFonts w:ascii="Times New Roman" w:hAnsi="Times New Roman" w:cs="Times New Roman"/>
          <w:sz w:val="24"/>
          <w:szCs w:val="24"/>
        </w:rPr>
        <w:t>It is possible, however, to argue with how Berk and Binsbergen parametrized their model: they had to make number of choices and sharp categorizations and assumptions.</w:t>
      </w:r>
      <w:bookmarkStart w:id="23" w:name="_Ref178082851"/>
      <w:r w:rsidRPr="00D3412D">
        <w:rPr>
          <w:rFonts w:ascii="Times New Roman" w:hAnsi="Times New Roman" w:cs="Times New Roman"/>
          <w:sz w:val="24"/>
          <w:szCs w:val="24"/>
          <w:vertAlign w:val="superscript"/>
        </w:rPr>
        <w:footnoteReference w:id="105"/>
      </w:r>
      <w:bookmarkEnd w:id="23"/>
      <w:r w:rsidRPr="00D3412D">
        <w:rPr>
          <w:rFonts w:ascii="Times New Roman" w:hAnsi="Times New Roman" w:cs="Times New Roman"/>
          <w:sz w:val="24"/>
          <w:szCs w:val="24"/>
        </w:rPr>
        <w:t xml:space="preserve"> Indeed, other </w:t>
      </w:r>
      <w:r w:rsidRPr="00D3412D">
        <w:rPr>
          <w:rFonts w:ascii="Times New Roman" w:hAnsi="Times New Roman" w:cs="Times New Roman"/>
          <w:sz w:val="24"/>
          <w:szCs w:val="24"/>
        </w:rPr>
        <w:lastRenderedPageBreak/>
        <w:t xml:space="preserve">researchers have developed and estimated asset pricing models that show a much more pronounced price effect caused by investor sorting, at least in certain time periods. Consider </w:t>
      </w:r>
      <w:r w:rsidR="00BA69F6">
        <w:rPr>
          <w:rFonts w:ascii="Times New Roman" w:hAnsi="Times New Roman" w:cs="Times New Roman"/>
          <w:sz w:val="24"/>
          <w:szCs w:val="24"/>
        </w:rPr>
        <w:t xml:space="preserve">the </w:t>
      </w:r>
      <w:r w:rsidR="00F25CDC">
        <w:rPr>
          <w:rFonts w:ascii="Times New Roman" w:hAnsi="Times New Roman" w:cs="Times New Roman"/>
          <w:sz w:val="24"/>
          <w:szCs w:val="24"/>
        </w:rPr>
        <w:t xml:space="preserve">work by </w:t>
      </w:r>
      <w:r w:rsidR="00407240">
        <w:rPr>
          <w:rFonts w:ascii="Times New Roman" w:hAnsi="Times New Roman" w:cs="Times New Roman"/>
          <w:sz w:val="24"/>
          <w:szCs w:val="24"/>
        </w:rPr>
        <w:t xml:space="preserve">Oliver </w:t>
      </w:r>
      <w:r w:rsidRPr="00D3412D">
        <w:rPr>
          <w:rFonts w:ascii="Times New Roman" w:hAnsi="Times New Roman" w:cs="Times New Roman"/>
          <w:sz w:val="24"/>
          <w:szCs w:val="24"/>
        </w:rPr>
        <w:t>Zerbib, wh</w:t>
      </w:r>
      <w:r w:rsidR="00F25CDC">
        <w:rPr>
          <w:rFonts w:ascii="Times New Roman" w:hAnsi="Times New Roman" w:cs="Times New Roman"/>
          <w:sz w:val="24"/>
          <w:szCs w:val="24"/>
        </w:rPr>
        <w:t>o</w:t>
      </w:r>
      <w:r w:rsidRPr="00D3412D">
        <w:rPr>
          <w:rFonts w:ascii="Times New Roman" w:hAnsi="Times New Roman" w:cs="Times New Roman"/>
          <w:sz w:val="24"/>
          <w:szCs w:val="24"/>
        </w:rPr>
        <w:t xml:space="preserve"> develops and estimates an asset pricing model that, like Berk and Binsbergen’s model, theoretically predicts a potential price effect from sorting.</w:t>
      </w:r>
      <w:r w:rsidRPr="00D3412D">
        <w:rPr>
          <w:rFonts w:ascii="Times New Roman" w:hAnsi="Times New Roman" w:cs="Times New Roman"/>
          <w:sz w:val="24"/>
          <w:szCs w:val="24"/>
          <w:vertAlign w:val="superscript"/>
        </w:rPr>
        <w:footnoteReference w:id="106"/>
      </w:r>
      <w:r w:rsidRPr="00D3412D">
        <w:rPr>
          <w:rFonts w:ascii="Times New Roman" w:hAnsi="Times New Roman" w:cs="Times New Roman"/>
          <w:sz w:val="24"/>
          <w:szCs w:val="24"/>
        </w:rPr>
        <w:t xml:space="preserve"> When estimating the model over the same time period considered by Berk and Binsbergen, Zerbib finds, also like Berk and Binsbergen, that divestiture has had a negligible effect on divested firms’ returns.</w:t>
      </w:r>
      <w:r w:rsidRPr="00D3412D">
        <w:rPr>
          <w:rFonts w:ascii="Times New Roman" w:hAnsi="Times New Roman" w:cs="Times New Roman"/>
          <w:sz w:val="24"/>
          <w:szCs w:val="24"/>
          <w:vertAlign w:val="superscript"/>
        </w:rPr>
        <w:footnoteReference w:id="107"/>
      </w:r>
      <w:r w:rsidRPr="00D3412D">
        <w:rPr>
          <w:rFonts w:ascii="Times New Roman" w:hAnsi="Times New Roman" w:cs="Times New Roman"/>
          <w:sz w:val="24"/>
          <w:szCs w:val="24"/>
        </w:rPr>
        <w:t xml:space="preserve">  Zerbib</w:t>
      </w:r>
      <w:r>
        <w:rPr>
          <w:rFonts w:ascii="Times New Roman" w:hAnsi="Times New Roman" w:cs="Times New Roman"/>
          <w:sz w:val="24"/>
          <w:szCs w:val="24"/>
        </w:rPr>
        <w:t>, however, does</w:t>
      </w:r>
      <w:r w:rsidRPr="00D3412D">
        <w:rPr>
          <w:rFonts w:ascii="Times New Roman" w:hAnsi="Times New Roman" w:cs="Times New Roman"/>
          <w:sz w:val="24"/>
          <w:szCs w:val="24"/>
        </w:rPr>
        <w:t xml:space="preserve"> find a meaningful price effect in other time periods, including a longer time period encompassing the one considered by Berk and Binsbergen, thereby concluding that “the effect of exclusionary screening on the cost of capital is not necessarily negligible</w:t>
      </w:r>
      <w:r>
        <w:rPr>
          <w:rFonts w:ascii="Times New Roman" w:hAnsi="Times New Roman" w:cs="Times New Roman"/>
          <w:sz w:val="24"/>
          <w:szCs w:val="24"/>
        </w:rPr>
        <w:t>.</w:t>
      </w:r>
      <w:r w:rsidRPr="00D3412D">
        <w:rPr>
          <w:rFonts w:ascii="Times New Roman" w:hAnsi="Times New Roman" w:cs="Times New Roman"/>
          <w:sz w:val="24"/>
          <w:szCs w:val="24"/>
        </w:rPr>
        <w:t>”</w:t>
      </w:r>
      <w:r w:rsidRPr="00D3412D">
        <w:rPr>
          <w:rFonts w:ascii="Times New Roman" w:hAnsi="Times New Roman" w:cs="Times New Roman"/>
          <w:sz w:val="24"/>
          <w:szCs w:val="24"/>
          <w:vertAlign w:val="superscript"/>
        </w:rPr>
        <w:footnoteReference w:id="108"/>
      </w:r>
      <w:r w:rsidRPr="00D3412D">
        <w:rPr>
          <w:rFonts w:ascii="Times New Roman" w:hAnsi="Times New Roman" w:cs="Times New Roman"/>
          <w:sz w:val="24"/>
          <w:szCs w:val="24"/>
        </w:rPr>
        <w:t xml:space="preserve"> Other researchers have similarly found a non-trivial price effect caused by divestiture.</w:t>
      </w:r>
      <w:r w:rsidRPr="00D3412D">
        <w:rPr>
          <w:rFonts w:ascii="Times New Roman" w:hAnsi="Times New Roman" w:cs="Times New Roman"/>
          <w:sz w:val="24"/>
          <w:szCs w:val="24"/>
          <w:vertAlign w:val="superscript"/>
        </w:rPr>
        <w:footnoteReference w:id="109"/>
      </w:r>
      <w:r w:rsidRPr="00D3412D">
        <w:rPr>
          <w:rFonts w:ascii="Times New Roman" w:hAnsi="Times New Roman" w:cs="Times New Roman"/>
          <w:sz w:val="24"/>
          <w:szCs w:val="24"/>
        </w:rPr>
        <w:t xml:space="preserve">        </w:t>
      </w:r>
    </w:p>
    <w:p w14:paraId="63859B7E" w14:textId="6A3F4EE7" w:rsidR="00E3636D" w:rsidRDefault="00FC39EF" w:rsidP="00FC39EF">
      <w:pPr>
        <w:spacing w:after="0" w:line="480" w:lineRule="auto"/>
        <w:ind w:right="90" w:firstLine="720"/>
        <w:jc w:val="both"/>
        <w:rPr>
          <w:rFonts w:ascii="Times New Roman" w:hAnsi="Times New Roman" w:cs="Times New Roman"/>
          <w:sz w:val="24"/>
          <w:szCs w:val="24"/>
        </w:rPr>
      </w:pPr>
      <w:r>
        <w:rPr>
          <w:rFonts w:ascii="Times New Roman" w:hAnsi="Times New Roman" w:cs="Times New Roman"/>
          <w:sz w:val="24"/>
          <w:szCs w:val="24"/>
        </w:rPr>
        <w:t>In sum,</w:t>
      </w:r>
      <w:r w:rsidRPr="00D3412D">
        <w:rPr>
          <w:rFonts w:ascii="Times New Roman" w:hAnsi="Times New Roman" w:cs="Times New Roman"/>
          <w:sz w:val="24"/>
          <w:szCs w:val="24"/>
        </w:rPr>
        <w:t xml:space="preserve"> while the asset pricing models developed in the literature show that </w:t>
      </w:r>
      <w:r w:rsidR="00E3636D">
        <w:rPr>
          <w:rFonts w:ascii="Times New Roman" w:hAnsi="Times New Roman" w:cs="Times New Roman"/>
          <w:sz w:val="24"/>
          <w:szCs w:val="24"/>
        </w:rPr>
        <w:t xml:space="preserve">investor sorting can have a price effect as a matter of theory, attempts to estimate </w:t>
      </w:r>
      <w:r w:rsidR="00DA15F6">
        <w:rPr>
          <w:rFonts w:ascii="Times New Roman" w:hAnsi="Times New Roman" w:cs="Times New Roman"/>
          <w:sz w:val="24"/>
          <w:szCs w:val="24"/>
        </w:rPr>
        <w:t>empirically</w:t>
      </w:r>
      <w:r w:rsidR="00E3636D">
        <w:rPr>
          <w:rFonts w:ascii="Times New Roman" w:hAnsi="Times New Roman" w:cs="Times New Roman"/>
          <w:sz w:val="24"/>
          <w:szCs w:val="24"/>
        </w:rPr>
        <w:t xml:space="preserve"> how much </w:t>
      </w:r>
      <w:r w:rsidRPr="00D3412D">
        <w:rPr>
          <w:rFonts w:ascii="Times New Roman" w:hAnsi="Times New Roman" w:cs="Times New Roman"/>
          <w:sz w:val="24"/>
          <w:szCs w:val="24"/>
        </w:rPr>
        <w:t>vary significantly</w:t>
      </w:r>
      <w:r w:rsidR="00E3636D">
        <w:rPr>
          <w:rFonts w:ascii="Times New Roman" w:hAnsi="Times New Roman" w:cs="Times New Roman"/>
          <w:sz w:val="24"/>
          <w:szCs w:val="24"/>
        </w:rPr>
        <w:t>.</w:t>
      </w:r>
      <w:r w:rsidRPr="00D3412D">
        <w:rPr>
          <w:rFonts w:ascii="Times New Roman" w:hAnsi="Times New Roman" w:cs="Times New Roman"/>
          <w:sz w:val="24"/>
          <w:szCs w:val="24"/>
        </w:rPr>
        <w:t xml:space="preserve"> </w:t>
      </w:r>
    </w:p>
    <w:p w14:paraId="59DF9582" w14:textId="732BC0DB" w:rsidR="00FC39EF" w:rsidRDefault="00E3636D" w:rsidP="00FC39EF">
      <w:pPr>
        <w:spacing w:after="0" w:line="480" w:lineRule="auto"/>
        <w:ind w:right="90" w:firstLine="720"/>
        <w:jc w:val="both"/>
        <w:rPr>
          <w:rFonts w:ascii="Times New Roman" w:hAnsi="Times New Roman" w:cs="Times New Roman"/>
          <w:sz w:val="24"/>
          <w:szCs w:val="24"/>
        </w:rPr>
      </w:pPr>
      <w:r>
        <w:rPr>
          <w:rFonts w:ascii="Times New Roman" w:hAnsi="Times New Roman" w:cs="Times New Roman"/>
          <w:sz w:val="24"/>
          <w:szCs w:val="24"/>
        </w:rPr>
        <w:t>R</w:t>
      </w:r>
      <w:r w:rsidR="00FC39EF" w:rsidRPr="00D3412D">
        <w:rPr>
          <w:rFonts w:ascii="Times New Roman" w:hAnsi="Times New Roman" w:cs="Times New Roman"/>
          <w:sz w:val="24"/>
          <w:szCs w:val="24"/>
        </w:rPr>
        <w:t xml:space="preserve">egardless </w:t>
      </w:r>
      <w:r>
        <w:rPr>
          <w:rFonts w:ascii="Times New Roman" w:hAnsi="Times New Roman" w:cs="Times New Roman"/>
          <w:sz w:val="24"/>
          <w:szCs w:val="24"/>
        </w:rPr>
        <w:t xml:space="preserve">of what empirical result </w:t>
      </w:r>
      <w:r w:rsidR="00FC39EF" w:rsidRPr="00D3412D">
        <w:rPr>
          <w:rFonts w:ascii="Times New Roman" w:hAnsi="Times New Roman" w:cs="Times New Roman"/>
          <w:sz w:val="24"/>
          <w:szCs w:val="24"/>
        </w:rPr>
        <w:t>one adopts, in order to evaluate whether a price effect is economically meaningful, it is important to specify exactly the channels by which a price effect could affect firm behavior</w:t>
      </w:r>
      <w:r w:rsidR="00796064">
        <w:rPr>
          <w:rFonts w:ascii="Times New Roman" w:hAnsi="Times New Roman" w:cs="Times New Roman"/>
          <w:sz w:val="24"/>
          <w:szCs w:val="24"/>
        </w:rPr>
        <w:t xml:space="preserve">. </w:t>
      </w:r>
      <w:r w:rsidR="00FC39EF" w:rsidRPr="00D3412D">
        <w:rPr>
          <w:rFonts w:ascii="Times New Roman" w:hAnsi="Times New Roman" w:cs="Times New Roman"/>
          <w:sz w:val="24"/>
          <w:szCs w:val="24"/>
        </w:rPr>
        <w:t xml:space="preserve">Assume </w:t>
      </w:r>
      <w:r w:rsidR="00FC39EF">
        <w:rPr>
          <w:rFonts w:ascii="Times New Roman" w:hAnsi="Times New Roman" w:cs="Times New Roman"/>
          <w:sz w:val="24"/>
          <w:szCs w:val="24"/>
        </w:rPr>
        <w:t xml:space="preserve">in the discussion that follows, that a </w:t>
      </w:r>
      <w:r w:rsidR="00FC39EF" w:rsidRPr="00D3412D">
        <w:rPr>
          <w:rFonts w:ascii="Times New Roman" w:hAnsi="Times New Roman" w:cs="Times New Roman"/>
          <w:sz w:val="24"/>
          <w:szCs w:val="24"/>
        </w:rPr>
        <w:t xml:space="preserve">divestiture </w:t>
      </w:r>
      <w:r w:rsidR="00FC39EF">
        <w:rPr>
          <w:rFonts w:ascii="Times New Roman" w:hAnsi="Times New Roman" w:cs="Times New Roman"/>
          <w:sz w:val="24"/>
          <w:szCs w:val="24"/>
        </w:rPr>
        <w:t xml:space="preserve">results in some kind of non-negligible </w:t>
      </w:r>
      <w:r w:rsidR="00FC39EF" w:rsidRPr="00D3412D">
        <w:rPr>
          <w:rFonts w:ascii="Times New Roman" w:hAnsi="Times New Roman" w:cs="Times New Roman"/>
          <w:sz w:val="24"/>
          <w:szCs w:val="24"/>
        </w:rPr>
        <w:t>price effect</w:t>
      </w:r>
      <w:r w:rsidR="00796064">
        <w:rPr>
          <w:rFonts w:ascii="Times New Roman" w:hAnsi="Times New Roman" w:cs="Times New Roman"/>
          <w:sz w:val="24"/>
          <w:szCs w:val="24"/>
        </w:rPr>
        <w:t xml:space="preserve">. </w:t>
      </w:r>
      <w:r w:rsidR="00FC39EF">
        <w:rPr>
          <w:rFonts w:ascii="Times New Roman" w:hAnsi="Times New Roman" w:cs="Times New Roman"/>
          <w:sz w:val="24"/>
          <w:szCs w:val="24"/>
        </w:rPr>
        <w:t xml:space="preserve">We focus on </w:t>
      </w:r>
      <w:r w:rsidR="00FC39EF" w:rsidRPr="00D3412D">
        <w:rPr>
          <w:rFonts w:ascii="Times New Roman" w:hAnsi="Times New Roman" w:cs="Times New Roman"/>
          <w:sz w:val="24"/>
          <w:szCs w:val="24"/>
        </w:rPr>
        <w:t xml:space="preserve">a firm that is currently engaging in polluting </w:t>
      </w:r>
      <w:r w:rsidR="00FC39EF" w:rsidRPr="00D3412D">
        <w:rPr>
          <w:rFonts w:ascii="Times New Roman" w:hAnsi="Times New Roman" w:cs="Times New Roman"/>
          <w:sz w:val="24"/>
          <w:szCs w:val="24"/>
        </w:rPr>
        <w:lastRenderedPageBreak/>
        <w:t xml:space="preserve">activities which, if </w:t>
      </w:r>
      <w:r w:rsidR="00FC39EF">
        <w:rPr>
          <w:rFonts w:ascii="Times New Roman" w:hAnsi="Times New Roman" w:cs="Times New Roman"/>
          <w:sz w:val="24"/>
          <w:szCs w:val="24"/>
        </w:rPr>
        <w:t>the</w:t>
      </w:r>
      <w:r w:rsidR="00FC39EF" w:rsidRPr="00D3412D">
        <w:rPr>
          <w:rFonts w:ascii="Times New Roman" w:hAnsi="Times New Roman" w:cs="Times New Roman"/>
          <w:sz w:val="24"/>
          <w:szCs w:val="24"/>
        </w:rPr>
        <w:t xml:space="preserve"> divestiture had not occurred with its price effect, would have been considered unambiguously </w:t>
      </w:r>
      <w:r w:rsidR="00FC39EF">
        <w:rPr>
          <w:rFonts w:ascii="Times New Roman" w:hAnsi="Times New Roman" w:cs="Times New Roman"/>
          <w:sz w:val="24"/>
          <w:szCs w:val="24"/>
        </w:rPr>
        <w:t xml:space="preserve">maximizing its share price. </w:t>
      </w:r>
      <w:r w:rsidR="00FC39EF" w:rsidRPr="00D3412D">
        <w:rPr>
          <w:rFonts w:ascii="Times New Roman" w:hAnsi="Times New Roman" w:cs="Times New Roman"/>
          <w:sz w:val="24"/>
          <w:szCs w:val="24"/>
        </w:rPr>
        <w:t>Once the divestiture occurs</w:t>
      </w:r>
      <w:r w:rsidR="00FC39EF">
        <w:rPr>
          <w:rFonts w:ascii="Times New Roman" w:hAnsi="Times New Roman" w:cs="Times New Roman"/>
          <w:sz w:val="24"/>
          <w:szCs w:val="24"/>
        </w:rPr>
        <w:t xml:space="preserve">, </w:t>
      </w:r>
      <w:r w:rsidR="00FC39EF" w:rsidRPr="00D3412D">
        <w:rPr>
          <w:rFonts w:ascii="Times New Roman" w:hAnsi="Times New Roman" w:cs="Times New Roman"/>
          <w:sz w:val="24"/>
          <w:szCs w:val="24"/>
        </w:rPr>
        <w:t xml:space="preserve">the managers become aware of the more favorable rate </w:t>
      </w:r>
      <w:r w:rsidR="00FC39EF">
        <w:rPr>
          <w:rFonts w:ascii="Times New Roman" w:hAnsi="Times New Roman" w:cs="Times New Roman"/>
          <w:sz w:val="24"/>
          <w:szCs w:val="24"/>
        </w:rPr>
        <w:t xml:space="preserve">at which the market will discount the firm’s future cash flow </w:t>
      </w:r>
      <w:r w:rsidR="00FC39EF" w:rsidRPr="00D3412D">
        <w:rPr>
          <w:rFonts w:ascii="Times New Roman" w:hAnsi="Times New Roman" w:cs="Times New Roman"/>
          <w:sz w:val="24"/>
          <w:szCs w:val="24"/>
        </w:rPr>
        <w:t xml:space="preserve">to extent that they </w:t>
      </w:r>
      <w:r w:rsidR="00FC39EF">
        <w:rPr>
          <w:rFonts w:ascii="Times New Roman" w:hAnsi="Times New Roman" w:cs="Times New Roman"/>
          <w:sz w:val="24"/>
          <w:szCs w:val="24"/>
        </w:rPr>
        <w:t xml:space="preserve">are not engaging in </w:t>
      </w:r>
      <w:r w:rsidR="00FC39EF" w:rsidRPr="00D3412D">
        <w:rPr>
          <w:rFonts w:ascii="Times New Roman" w:hAnsi="Times New Roman" w:cs="Times New Roman"/>
          <w:sz w:val="24"/>
          <w:szCs w:val="24"/>
        </w:rPr>
        <w:t>polluting activities</w:t>
      </w:r>
      <w:r w:rsidR="00FC39EF">
        <w:rPr>
          <w:rFonts w:ascii="Times New Roman" w:hAnsi="Times New Roman" w:cs="Times New Roman"/>
          <w:sz w:val="24"/>
          <w:szCs w:val="24"/>
        </w:rPr>
        <w:t>.</w:t>
      </w:r>
      <w:r w:rsidR="00FC39EF" w:rsidRPr="00D3412D">
        <w:rPr>
          <w:rFonts w:ascii="Times New Roman" w:hAnsi="Times New Roman" w:cs="Times New Roman"/>
          <w:sz w:val="24"/>
          <w:szCs w:val="24"/>
        </w:rPr>
        <w:t xml:space="preserve"> </w:t>
      </w:r>
      <w:r w:rsidR="00FC39EF">
        <w:rPr>
          <w:rFonts w:ascii="Times New Roman" w:hAnsi="Times New Roman" w:cs="Times New Roman"/>
          <w:sz w:val="24"/>
          <w:szCs w:val="24"/>
        </w:rPr>
        <w:t xml:space="preserve">Given how </w:t>
      </w:r>
      <w:r w:rsidR="00FC39EF" w:rsidRPr="00D3412D">
        <w:rPr>
          <w:rFonts w:ascii="Times New Roman" w:hAnsi="Times New Roman" w:cs="Times New Roman"/>
          <w:sz w:val="24"/>
          <w:szCs w:val="24"/>
        </w:rPr>
        <w:t xml:space="preserve">the usual </w:t>
      </w:r>
      <w:r w:rsidR="00573F40">
        <w:rPr>
          <w:rFonts w:ascii="Times New Roman" w:hAnsi="Times New Roman" w:cs="Times New Roman"/>
          <w:sz w:val="24"/>
          <w:szCs w:val="24"/>
        </w:rPr>
        <w:t>suite</w:t>
      </w:r>
      <w:r w:rsidR="00573F40" w:rsidRPr="00D3412D">
        <w:rPr>
          <w:rFonts w:ascii="Times New Roman" w:hAnsi="Times New Roman" w:cs="Times New Roman"/>
          <w:sz w:val="24"/>
          <w:szCs w:val="24"/>
        </w:rPr>
        <w:t xml:space="preserve"> </w:t>
      </w:r>
      <w:r w:rsidR="00FC39EF" w:rsidRPr="00D3412D">
        <w:rPr>
          <w:rFonts w:ascii="Times New Roman" w:hAnsi="Times New Roman" w:cs="Times New Roman"/>
          <w:sz w:val="24"/>
          <w:szCs w:val="24"/>
        </w:rPr>
        <w:t>of corporate governance devices affect managerial incentives,</w:t>
      </w:r>
      <w:r w:rsidR="00FC39EF">
        <w:rPr>
          <w:rFonts w:ascii="Times New Roman" w:hAnsi="Times New Roman" w:cs="Times New Roman"/>
          <w:sz w:val="24"/>
          <w:szCs w:val="24"/>
        </w:rPr>
        <w:t xml:space="preserve"> however, the divestment will lead </w:t>
      </w:r>
      <w:r w:rsidR="00FC39EF" w:rsidRPr="00D3412D">
        <w:rPr>
          <w:rFonts w:ascii="Times New Roman" w:hAnsi="Times New Roman" w:cs="Times New Roman"/>
          <w:sz w:val="24"/>
          <w:szCs w:val="24"/>
        </w:rPr>
        <w:t xml:space="preserve">management </w:t>
      </w:r>
      <w:r w:rsidR="00FC39EF">
        <w:rPr>
          <w:rFonts w:ascii="Times New Roman" w:hAnsi="Times New Roman" w:cs="Times New Roman"/>
          <w:sz w:val="24"/>
          <w:szCs w:val="24"/>
        </w:rPr>
        <w:t>to c</w:t>
      </w:r>
      <w:r w:rsidR="00FC39EF" w:rsidRPr="00D3412D">
        <w:rPr>
          <w:rFonts w:ascii="Times New Roman" w:hAnsi="Times New Roman" w:cs="Times New Roman"/>
          <w:sz w:val="24"/>
          <w:szCs w:val="24"/>
        </w:rPr>
        <w:t xml:space="preserve">hange the firm’s behavior </w:t>
      </w:r>
      <w:r w:rsidR="00FC39EF">
        <w:rPr>
          <w:rFonts w:ascii="Times New Roman" w:hAnsi="Times New Roman" w:cs="Times New Roman"/>
          <w:sz w:val="24"/>
          <w:szCs w:val="24"/>
        </w:rPr>
        <w:t xml:space="preserve">only </w:t>
      </w:r>
      <w:r w:rsidR="00FC39EF" w:rsidRPr="00D3412D">
        <w:rPr>
          <w:rFonts w:ascii="Times New Roman" w:hAnsi="Times New Roman" w:cs="Times New Roman"/>
          <w:sz w:val="24"/>
          <w:szCs w:val="24"/>
        </w:rPr>
        <w:t>to the extent</w:t>
      </w:r>
      <w:r w:rsidR="00FC39EF">
        <w:rPr>
          <w:rFonts w:ascii="Times New Roman" w:hAnsi="Times New Roman" w:cs="Times New Roman"/>
          <w:sz w:val="24"/>
          <w:szCs w:val="24"/>
        </w:rPr>
        <w:t>, if any,</w:t>
      </w:r>
      <w:r w:rsidR="00FC39EF" w:rsidRPr="00D3412D">
        <w:rPr>
          <w:rFonts w:ascii="Times New Roman" w:hAnsi="Times New Roman" w:cs="Times New Roman"/>
          <w:sz w:val="24"/>
          <w:szCs w:val="24"/>
        </w:rPr>
        <w:t xml:space="preserve"> that doing so actually enhances </w:t>
      </w:r>
      <w:r w:rsidR="00FC39EF">
        <w:rPr>
          <w:rFonts w:ascii="Times New Roman" w:hAnsi="Times New Roman" w:cs="Times New Roman"/>
          <w:sz w:val="24"/>
          <w:szCs w:val="24"/>
        </w:rPr>
        <w:t xml:space="preserve">the firm’s </w:t>
      </w:r>
      <w:r w:rsidR="00FC39EF" w:rsidRPr="00D3412D">
        <w:rPr>
          <w:rFonts w:ascii="Times New Roman" w:hAnsi="Times New Roman" w:cs="Times New Roman"/>
          <w:sz w:val="24"/>
          <w:szCs w:val="24"/>
        </w:rPr>
        <w:t>share price</w:t>
      </w:r>
      <w:r w:rsidR="00796064">
        <w:rPr>
          <w:rFonts w:ascii="Times New Roman" w:hAnsi="Times New Roman" w:cs="Times New Roman"/>
          <w:sz w:val="24"/>
          <w:szCs w:val="24"/>
        </w:rPr>
        <w:t xml:space="preserve">. </w:t>
      </w:r>
    </w:p>
    <w:p w14:paraId="717773D1" w14:textId="3CF56EF1" w:rsidR="00FC39EF" w:rsidRDefault="00FC39EF" w:rsidP="00FC39EF">
      <w:pPr>
        <w:spacing w:after="0" w:line="480" w:lineRule="auto"/>
        <w:ind w:right="90" w:firstLine="720"/>
        <w:jc w:val="both"/>
        <w:rPr>
          <w:rFonts w:ascii="Times New Roman" w:hAnsi="Times New Roman" w:cs="Times New Roman"/>
          <w:sz w:val="24"/>
          <w:szCs w:val="24"/>
        </w:rPr>
      </w:pPr>
      <w:r>
        <w:rPr>
          <w:rFonts w:ascii="Times New Roman" w:hAnsi="Times New Roman" w:cs="Times New Roman"/>
          <w:sz w:val="24"/>
          <w:szCs w:val="24"/>
        </w:rPr>
        <w:t xml:space="preserve">  Consider first the effect of the divestiture</w:t>
      </w:r>
      <w:r w:rsidR="00E3636D">
        <w:rPr>
          <w:rFonts w:ascii="Times New Roman" w:hAnsi="Times New Roman" w:cs="Times New Roman"/>
          <w:sz w:val="24"/>
          <w:szCs w:val="24"/>
        </w:rPr>
        <w:t>’</w:t>
      </w:r>
      <w:r>
        <w:rPr>
          <w:rFonts w:ascii="Times New Roman" w:hAnsi="Times New Roman" w:cs="Times New Roman"/>
          <w:sz w:val="24"/>
          <w:szCs w:val="24"/>
        </w:rPr>
        <w:t>s price impact on the ways that management utilizes the firm’s existing productive capacity</w:t>
      </w:r>
      <w:r w:rsidR="00796064">
        <w:rPr>
          <w:rFonts w:ascii="Times New Roman" w:hAnsi="Times New Roman" w:cs="Times New Roman"/>
          <w:sz w:val="24"/>
          <w:szCs w:val="24"/>
        </w:rPr>
        <w:t xml:space="preserve">. </w:t>
      </w:r>
      <w:r w:rsidR="00195BF1">
        <w:rPr>
          <w:rFonts w:ascii="Times New Roman" w:hAnsi="Times New Roman" w:cs="Times New Roman"/>
          <w:sz w:val="24"/>
          <w:szCs w:val="24"/>
        </w:rPr>
        <w:t xml:space="preserve"> Management’s focus in making this choice is on its share price.  </w:t>
      </w:r>
      <w:r w:rsidR="00195BF1" w:rsidRPr="006A40F1">
        <w:rPr>
          <w:rFonts w:ascii="Times New Roman" w:hAnsi="Times New Roman"/>
          <w:sz w:val="24"/>
          <w:szCs w:val="24"/>
        </w:rPr>
        <w:t>The standard financial economic model of an issuer’s share price is that it reflects the market’s best estimate of the issuer’s expected future dividends and other distributions to shareholders discounted to present value,</w:t>
      </w:r>
      <w:r w:rsidR="00195BF1" w:rsidRPr="006A40F1">
        <w:rPr>
          <w:rStyle w:val="FootnoteReference"/>
          <w:rFonts w:ascii="Times New Roman" w:hAnsi="Times New Roman"/>
          <w:sz w:val="24"/>
          <w:szCs w:val="24"/>
        </w:rPr>
        <w:footnoteReference w:id="110"/>
      </w:r>
      <w:r w:rsidR="00195BF1" w:rsidRPr="006A40F1">
        <w:rPr>
          <w:rFonts w:ascii="Times New Roman" w:hAnsi="Times New Roman"/>
          <w:sz w:val="24"/>
          <w:szCs w:val="24"/>
        </w:rPr>
        <w:t xml:space="preserve"> which in turn depend solely on the firm’s expected net cash flow.</w:t>
      </w:r>
      <w:r w:rsidR="00195BF1" w:rsidRPr="00263B0F">
        <w:rPr>
          <w:rFonts w:ascii="Times New Roman" w:hAnsi="Times New Roman"/>
          <w:szCs w:val="24"/>
        </w:rPr>
        <w:t xml:space="preserve"> </w:t>
      </w:r>
      <w:r w:rsidR="00195BF1">
        <w:rPr>
          <w:rFonts w:ascii="Times New Roman" w:hAnsi="Times New Roman" w:cs="Times New Roman"/>
          <w:sz w:val="24"/>
          <w:szCs w:val="24"/>
        </w:rPr>
        <w:t xml:space="preserve"> </w:t>
      </w:r>
      <w:r>
        <w:rPr>
          <w:rFonts w:ascii="Times New Roman" w:hAnsi="Times New Roman" w:cs="Times New Roman"/>
          <w:sz w:val="24"/>
          <w:szCs w:val="24"/>
        </w:rPr>
        <w:t>Th</w:t>
      </w:r>
      <w:r w:rsidR="00195BF1">
        <w:rPr>
          <w:rFonts w:ascii="Times New Roman" w:hAnsi="Times New Roman" w:cs="Times New Roman"/>
          <w:sz w:val="24"/>
          <w:szCs w:val="24"/>
        </w:rPr>
        <w:t>us</w:t>
      </w:r>
      <w:r w:rsidR="00573F40">
        <w:rPr>
          <w:rFonts w:ascii="Times New Roman" w:hAnsi="Times New Roman" w:cs="Times New Roman"/>
          <w:sz w:val="24"/>
          <w:szCs w:val="24"/>
        </w:rPr>
        <w:t>,</w:t>
      </w:r>
      <w:r w:rsidR="00195BF1">
        <w:rPr>
          <w:rFonts w:ascii="Times New Roman" w:hAnsi="Times New Roman" w:cs="Times New Roman"/>
          <w:sz w:val="24"/>
          <w:szCs w:val="24"/>
        </w:rPr>
        <w:t xml:space="preserve"> management </w:t>
      </w:r>
      <w:r>
        <w:rPr>
          <w:rFonts w:ascii="Times New Roman" w:hAnsi="Times New Roman" w:cs="Times New Roman"/>
          <w:sz w:val="24"/>
          <w:szCs w:val="24"/>
        </w:rPr>
        <w:t xml:space="preserve">will redirect the use of this capacity to non-polluting activities only </w:t>
      </w:r>
      <w:r w:rsidRPr="00D3412D">
        <w:rPr>
          <w:rFonts w:ascii="Times New Roman" w:hAnsi="Times New Roman" w:cs="Times New Roman"/>
          <w:sz w:val="24"/>
          <w:szCs w:val="24"/>
        </w:rPr>
        <w:t>to the extent, if any, that</w:t>
      </w:r>
      <w:r>
        <w:rPr>
          <w:rFonts w:ascii="Times New Roman" w:hAnsi="Times New Roman" w:cs="Times New Roman"/>
          <w:sz w:val="24"/>
          <w:szCs w:val="24"/>
        </w:rPr>
        <w:t xml:space="preserve"> doing so favorably affects the calculation of the operation’s future expected cash flow discounted to present value</w:t>
      </w:r>
      <w:r w:rsidR="00796064">
        <w:rPr>
          <w:rFonts w:ascii="Times New Roman" w:hAnsi="Times New Roman" w:cs="Times New Roman"/>
          <w:sz w:val="24"/>
          <w:szCs w:val="24"/>
        </w:rPr>
        <w:t xml:space="preserve">. </w:t>
      </w:r>
      <w:r>
        <w:rPr>
          <w:rFonts w:ascii="Times New Roman" w:hAnsi="Times New Roman" w:cs="Times New Roman"/>
          <w:sz w:val="24"/>
          <w:szCs w:val="24"/>
        </w:rPr>
        <w:t>This will only be the case if</w:t>
      </w:r>
      <w:r w:rsidR="00BA767C">
        <w:rPr>
          <w:rFonts w:ascii="Times New Roman" w:hAnsi="Times New Roman" w:cs="Times New Roman"/>
          <w:sz w:val="24"/>
          <w:szCs w:val="24"/>
        </w:rPr>
        <w:t xml:space="preserve"> </w:t>
      </w:r>
      <w:r w:rsidRPr="00D3412D">
        <w:rPr>
          <w:rFonts w:ascii="Times New Roman" w:hAnsi="Times New Roman" w:cs="Times New Roman"/>
          <w:sz w:val="24"/>
          <w:szCs w:val="24"/>
        </w:rPr>
        <w:t xml:space="preserve">the loss in </w:t>
      </w:r>
      <w:r>
        <w:rPr>
          <w:rFonts w:ascii="Times New Roman" w:hAnsi="Times New Roman" w:cs="Times New Roman"/>
          <w:sz w:val="24"/>
          <w:szCs w:val="24"/>
        </w:rPr>
        <w:t xml:space="preserve">the amount of </w:t>
      </w:r>
      <w:r w:rsidRPr="00D3412D">
        <w:rPr>
          <w:rFonts w:ascii="Times New Roman" w:hAnsi="Times New Roman" w:cs="Times New Roman"/>
          <w:sz w:val="24"/>
          <w:szCs w:val="24"/>
        </w:rPr>
        <w:t xml:space="preserve">expected future cash flow </w:t>
      </w:r>
      <w:r>
        <w:rPr>
          <w:rFonts w:ascii="Times New Roman" w:hAnsi="Times New Roman" w:cs="Times New Roman"/>
          <w:sz w:val="24"/>
          <w:szCs w:val="24"/>
        </w:rPr>
        <w:t xml:space="preserve">is more than </w:t>
      </w:r>
      <w:r w:rsidRPr="00D3412D">
        <w:rPr>
          <w:rFonts w:ascii="Times New Roman" w:hAnsi="Times New Roman" w:cs="Times New Roman"/>
          <w:sz w:val="24"/>
          <w:szCs w:val="24"/>
        </w:rPr>
        <w:t xml:space="preserve">compensated for by </w:t>
      </w:r>
      <w:r>
        <w:rPr>
          <w:rFonts w:ascii="Times New Roman" w:hAnsi="Times New Roman" w:cs="Times New Roman"/>
          <w:sz w:val="24"/>
          <w:szCs w:val="24"/>
        </w:rPr>
        <w:t xml:space="preserve">the lower rate at which the remaining cash is discounted. </w:t>
      </w:r>
      <w:r w:rsidRPr="00D3412D">
        <w:rPr>
          <w:rFonts w:ascii="Times New Roman" w:hAnsi="Times New Roman" w:cs="Times New Roman"/>
          <w:sz w:val="24"/>
          <w:szCs w:val="24"/>
        </w:rPr>
        <w:t xml:space="preserve">In other words, it is not enough that abandoning the activity leads to a market price that implies </w:t>
      </w:r>
      <w:r>
        <w:rPr>
          <w:rFonts w:ascii="Times New Roman" w:hAnsi="Times New Roman" w:cs="Times New Roman"/>
          <w:sz w:val="24"/>
          <w:szCs w:val="24"/>
        </w:rPr>
        <w:t xml:space="preserve">that </w:t>
      </w:r>
      <w:r w:rsidRPr="00D3412D">
        <w:rPr>
          <w:rFonts w:ascii="Times New Roman" w:hAnsi="Times New Roman" w:cs="Times New Roman"/>
          <w:sz w:val="24"/>
          <w:szCs w:val="24"/>
        </w:rPr>
        <w:t xml:space="preserve">each dollar of expected future cash flow </w:t>
      </w:r>
      <w:r>
        <w:rPr>
          <w:rFonts w:ascii="Times New Roman" w:hAnsi="Times New Roman" w:cs="Times New Roman"/>
          <w:sz w:val="24"/>
          <w:szCs w:val="24"/>
        </w:rPr>
        <w:t xml:space="preserve">is discounted by the market </w:t>
      </w:r>
      <w:r w:rsidRPr="00D3412D">
        <w:rPr>
          <w:rFonts w:ascii="Times New Roman" w:hAnsi="Times New Roman" w:cs="Times New Roman"/>
          <w:sz w:val="24"/>
          <w:szCs w:val="24"/>
        </w:rPr>
        <w:t>at a lower – i.e., more favorable – rate</w:t>
      </w:r>
      <w:r>
        <w:rPr>
          <w:rFonts w:ascii="Times New Roman" w:hAnsi="Times New Roman" w:cs="Times New Roman"/>
          <w:sz w:val="24"/>
          <w:szCs w:val="24"/>
        </w:rPr>
        <w:t>, what the studies discussed above seek to test</w:t>
      </w:r>
      <w:r w:rsidRPr="00D3412D">
        <w:rPr>
          <w:rFonts w:ascii="Times New Roman" w:hAnsi="Times New Roman" w:cs="Times New Roman"/>
          <w:sz w:val="24"/>
          <w:szCs w:val="24"/>
        </w:rPr>
        <w:t xml:space="preserve">. Instead, the increase in the value of each dollar of expected future cash flow resulting from the discount rate improvement needs to be more than enough to compensate for the fact that </w:t>
      </w:r>
      <w:r>
        <w:rPr>
          <w:rFonts w:ascii="Times New Roman" w:hAnsi="Times New Roman" w:cs="Times New Roman"/>
          <w:sz w:val="24"/>
          <w:szCs w:val="24"/>
        </w:rPr>
        <w:t xml:space="preserve">the </w:t>
      </w:r>
      <w:r>
        <w:rPr>
          <w:rFonts w:ascii="Times New Roman" w:hAnsi="Times New Roman" w:cs="Times New Roman"/>
          <w:sz w:val="24"/>
          <w:szCs w:val="24"/>
        </w:rPr>
        <w:lastRenderedPageBreak/>
        <w:t xml:space="preserve">change to the non-polluting use of the firm’s productive capacity </w:t>
      </w:r>
      <w:r w:rsidRPr="00D3412D">
        <w:rPr>
          <w:rFonts w:ascii="Times New Roman" w:hAnsi="Times New Roman" w:cs="Times New Roman"/>
          <w:sz w:val="24"/>
          <w:szCs w:val="24"/>
        </w:rPr>
        <w:t>will reduce the size of this future expected cash flow.</w:t>
      </w:r>
      <w:r w:rsidRPr="00D3412D">
        <w:rPr>
          <w:rFonts w:ascii="Times New Roman" w:hAnsi="Times New Roman" w:cs="Times New Roman"/>
          <w:sz w:val="24"/>
          <w:szCs w:val="24"/>
          <w:vertAlign w:val="superscript"/>
        </w:rPr>
        <w:footnoteReference w:id="111"/>
      </w:r>
      <w:r w:rsidRPr="00D3412D">
        <w:rPr>
          <w:rFonts w:ascii="Times New Roman" w:hAnsi="Times New Roman" w:cs="Times New Roman"/>
          <w:sz w:val="24"/>
          <w:szCs w:val="24"/>
        </w:rPr>
        <w:t xml:space="preserve"> </w:t>
      </w:r>
    </w:p>
    <w:p w14:paraId="0EA2FFBB" w14:textId="11A2C14E" w:rsidR="00FC39EF" w:rsidRPr="00D3412D" w:rsidRDefault="00FC39EF" w:rsidP="00FC39EF">
      <w:pPr>
        <w:spacing w:after="0" w:line="480" w:lineRule="auto"/>
        <w:ind w:right="90" w:firstLine="720"/>
        <w:jc w:val="both"/>
        <w:rPr>
          <w:rFonts w:ascii="Times New Roman" w:hAnsi="Times New Roman" w:cs="Times New Roman"/>
          <w:sz w:val="24"/>
          <w:szCs w:val="24"/>
        </w:rPr>
      </w:pPr>
      <w:r>
        <w:rPr>
          <w:rFonts w:ascii="Times New Roman" w:hAnsi="Times New Roman" w:cs="Times New Roman"/>
          <w:sz w:val="24"/>
          <w:szCs w:val="24"/>
        </w:rPr>
        <w:t>The effect of the divestiture on the discount rate when it comes to new investment – i.e. on the firm’s cost of capital – is more certain</w:t>
      </w:r>
      <w:r w:rsidR="00583052">
        <w:rPr>
          <w:rFonts w:ascii="Times New Roman" w:hAnsi="Times New Roman" w:cs="Times New Roman"/>
          <w:sz w:val="24"/>
          <w:szCs w:val="24"/>
        </w:rPr>
        <w:t>,</w:t>
      </w:r>
      <w:r>
        <w:rPr>
          <w:rFonts w:ascii="Times New Roman" w:hAnsi="Times New Roman" w:cs="Times New Roman"/>
          <w:sz w:val="24"/>
          <w:szCs w:val="24"/>
        </w:rPr>
        <w:t xml:space="preserve"> but slower acting</w:t>
      </w:r>
      <w:r w:rsidR="00796064">
        <w:rPr>
          <w:rFonts w:ascii="Times New Roman" w:hAnsi="Times New Roman" w:cs="Times New Roman"/>
          <w:sz w:val="24"/>
          <w:szCs w:val="24"/>
        </w:rPr>
        <w:t xml:space="preserve">. </w:t>
      </w:r>
      <w:r>
        <w:rPr>
          <w:rFonts w:ascii="Times New Roman" w:hAnsi="Times New Roman" w:cs="Times New Roman"/>
          <w:sz w:val="24"/>
          <w:szCs w:val="24"/>
        </w:rPr>
        <w:t>To maximize share value, the managers will want to implement every proposed project that has a positive net present value</w:t>
      </w:r>
      <w:r w:rsidR="00796064">
        <w:rPr>
          <w:rFonts w:ascii="Times New Roman" w:hAnsi="Times New Roman" w:cs="Times New Roman"/>
          <w:sz w:val="24"/>
          <w:szCs w:val="24"/>
        </w:rPr>
        <w:t xml:space="preserve">. </w:t>
      </w:r>
      <w:r>
        <w:rPr>
          <w:rFonts w:ascii="Times New Roman" w:hAnsi="Times New Roman" w:cs="Times New Roman"/>
          <w:sz w:val="24"/>
          <w:szCs w:val="24"/>
        </w:rPr>
        <w:t>Relative to before the divestiture, after it, polluting projects will have a higher discount rate</w:t>
      </w:r>
      <w:r w:rsidR="00583052">
        <w:rPr>
          <w:rFonts w:ascii="Times New Roman" w:hAnsi="Times New Roman" w:cs="Times New Roman"/>
          <w:sz w:val="24"/>
          <w:szCs w:val="24"/>
        </w:rPr>
        <w:t xml:space="preserve"> relative to</w:t>
      </w:r>
      <w:r>
        <w:rPr>
          <w:rFonts w:ascii="Times New Roman" w:hAnsi="Times New Roman" w:cs="Times New Roman"/>
          <w:sz w:val="24"/>
          <w:szCs w:val="24"/>
        </w:rPr>
        <w:t xml:space="preserve"> non-polluting </w:t>
      </w:r>
      <w:r w:rsidR="00583052">
        <w:rPr>
          <w:rFonts w:ascii="Times New Roman" w:hAnsi="Times New Roman" w:cs="Times New Roman"/>
          <w:sz w:val="24"/>
          <w:szCs w:val="24"/>
        </w:rPr>
        <w:t xml:space="preserve">ones. </w:t>
      </w:r>
      <w:r>
        <w:rPr>
          <w:rFonts w:ascii="Times New Roman" w:hAnsi="Times New Roman" w:cs="Times New Roman"/>
          <w:sz w:val="24"/>
          <w:szCs w:val="24"/>
        </w:rPr>
        <w:t>This means that it is more likely than before that a polluting project proposal will be found not to have a positive net present value</w:t>
      </w:r>
      <w:r w:rsidR="00583052">
        <w:rPr>
          <w:rFonts w:ascii="Times New Roman" w:hAnsi="Times New Roman" w:cs="Times New Roman"/>
          <w:sz w:val="24"/>
          <w:szCs w:val="24"/>
        </w:rPr>
        <w:t>.</w:t>
      </w:r>
      <w:r w:rsidR="00796064">
        <w:rPr>
          <w:rFonts w:ascii="Times New Roman" w:hAnsi="Times New Roman" w:cs="Times New Roman"/>
          <w:sz w:val="24"/>
          <w:szCs w:val="24"/>
        </w:rPr>
        <w:t xml:space="preserve"> </w:t>
      </w:r>
      <w:r w:rsidRPr="00D3412D">
        <w:rPr>
          <w:rFonts w:ascii="Times New Roman" w:hAnsi="Times New Roman" w:cs="Times New Roman"/>
          <w:sz w:val="24"/>
          <w:szCs w:val="24"/>
        </w:rPr>
        <w:t xml:space="preserve">  </w:t>
      </w:r>
      <w:r>
        <w:rPr>
          <w:rFonts w:ascii="Times New Roman" w:hAnsi="Times New Roman" w:cs="Times New Roman"/>
          <w:sz w:val="24"/>
          <w:szCs w:val="24"/>
        </w:rPr>
        <w:t>Still, a</w:t>
      </w:r>
      <w:r w:rsidRPr="00D3412D">
        <w:rPr>
          <w:rFonts w:ascii="Times New Roman" w:hAnsi="Times New Roman" w:cs="Times New Roman"/>
          <w:sz w:val="24"/>
          <w:szCs w:val="24"/>
        </w:rPr>
        <w:t xml:space="preserve">mong the polluting </w:t>
      </w:r>
      <w:r>
        <w:rPr>
          <w:rFonts w:ascii="Times New Roman" w:hAnsi="Times New Roman" w:cs="Times New Roman"/>
          <w:sz w:val="24"/>
          <w:szCs w:val="24"/>
        </w:rPr>
        <w:t xml:space="preserve">project proposals, </w:t>
      </w:r>
      <w:r w:rsidRPr="00D3412D">
        <w:rPr>
          <w:rFonts w:ascii="Times New Roman" w:hAnsi="Times New Roman" w:cs="Times New Roman"/>
          <w:sz w:val="24"/>
          <w:szCs w:val="24"/>
        </w:rPr>
        <w:t>the only ones that will not be implemented will be those that will not have a positive net present value using the implied discount rate resulting from the divestiture sorting price but would have had a positive net present value if the sorting had not occurred</w:t>
      </w:r>
      <w:r w:rsidR="00796064">
        <w:rPr>
          <w:rFonts w:ascii="Times New Roman" w:hAnsi="Times New Roman" w:cs="Times New Roman"/>
          <w:sz w:val="24"/>
          <w:szCs w:val="24"/>
        </w:rPr>
        <w:t xml:space="preserve">. </w:t>
      </w:r>
      <w:r>
        <w:rPr>
          <w:rFonts w:ascii="Times New Roman" w:hAnsi="Times New Roman" w:cs="Times New Roman"/>
          <w:sz w:val="24"/>
          <w:szCs w:val="24"/>
        </w:rPr>
        <w:t xml:space="preserve"> In </w:t>
      </w:r>
      <w:r w:rsidRPr="00D3412D">
        <w:rPr>
          <w:rFonts w:ascii="Times New Roman" w:hAnsi="Times New Roman" w:cs="Times New Roman"/>
          <w:sz w:val="24"/>
          <w:szCs w:val="24"/>
        </w:rPr>
        <w:t xml:space="preserve">terms of </w:t>
      </w:r>
      <w:r>
        <w:rPr>
          <w:rFonts w:ascii="Times New Roman" w:hAnsi="Times New Roman" w:cs="Times New Roman"/>
          <w:sz w:val="24"/>
          <w:szCs w:val="24"/>
        </w:rPr>
        <w:t xml:space="preserve">the timing of </w:t>
      </w:r>
      <w:r w:rsidRPr="00D3412D">
        <w:rPr>
          <w:rFonts w:ascii="Times New Roman" w:hAnsi="Times New Roman" w:cs="Times New Roman"/>
          <w:sz w:val="24"/>
          <w:szCs w:val="24"/>
        </w:rPr>
        <w:t xml:space="preserve">impact on the level of something like pollution, a redirection of investment </w:t>
      </w:r>
      <w:r>
        <w:rPr>
          <w:rFonts w:ascii="Times New Roman" w:hAnsi="Times New Roman" w:cs="Times New Roman"/>
          <w:sz w:val="24"/>
          <w:szCs w:val="24"/>
        </w:rPr>
        <w:t xml:space="preserve">of this sort </w:t>
      </w:r>
      <w:r w:rsidRPr="00D3412D">
        <w:rPr>
          <w:rFonts w:ascii="Times New Roman" w:hAnsi="Times New Roman" w:cs="Times New Roman"/>
          <w:sz w:val="24"/>
          <w:szCs w:val="24"/>
        </w:rPr>
        <w:t xml:space="preserve">is slow acting and </w:t>
      </w:r>
      <w:r>
        <w:rPr>
          <w:rFonts w:ascii="Times New Roman" w:hAnsi="Times New Roman" w:cs="Times New Roman"/>
          <w:sz w:val="24"/>
          <w:szCs w:val="24"/>
        </w:rPr>
        <w:t xml:space="preserve">it may </w:t>
      </w:r>
      <w:r w:rsidRPr="00D3412D">
        <w:rPr>
          <w:rFonts w:ascii="Times New Roman" w:hAnsi="Times New Roman" w:cs="Times New Roman"/>
          <w:sz w:val="24"/>
          <w:szCs w:val="24"/>
        </w:rPr>
        <w:t xml:space="preserve">take decades </w:t>
      </w:r>
      <w:r>
        <w:rPr>
          <w:rFonts w:ascii="Times New Roman" w:hAnsi="Times New Roman" w:cs="Times New Roman"/>
          <w:sz w:val="24"/>
          <w:szCs w:val="24"/>
        </w:rPr>
        <w:t>for a firm</w:t>
      </w:r>
      <w:r w:rsidR="00583052">
        <w:rPr>
          <w:rFonts w:ascii="Times New Roman" w:hAnsi="Times New Roman" w:cs="Times New Roman"/>
          <w:sz w:val="24"/>
          <w:szCs w:val="24"/>
        </w:rPr>
        <w:t>’</w:t>
      </w:r>
      <w:r>
        <w:rPr>
          <w:rFonts w:ascii="Times New Roman" w:hAnsi="Times New Roman" w:cs="Times New Roman"/>
          <w:sz w:val="24"/>
          <w:szCs w:val="24"/>
        </w:rPr>
        <w:t xml:space="preserve">s productive capacity to be so altered that the redirection </w:t>
      </w:r>
      <w:r w:rsidRPr="00D3412D">
        <w:rPr>
          <w:rFonts w:ascii="Times New Roman" w:hAnsi="Times New Roman" w:cs="Times New Roman"/>
          <w:sz w:val="24"/>
          <w:szCs w:val="24"/>
        </w:rPr>
        <w:t>show</w:t>
      </w:r>
      <w:r>
        <w:rPr>
          <w:rFonts w:ascii="Times New Roman" w:hAnsi="Times New Roman" w:cs="Times New Roman"/>
          <w:sz w:val="24"/>
          <w:szCs w:val="24"/>
        </w:rPr>
        <w:t>s</w:t>
      </w:r>
      <w:r w:rsidRPr="00D3412D">
        <w:rPr>
          <w:rFonts w:ascii="Times New Roman" w:hAnsi="Times New Roman" w:cs="Times New Roman"/>
          <w:sz w:val="24"/>
          <w:szCs w:val="24"/>
        </w:rPr>
        <w:t xml:space="preserve"> its full effects.</w:t>
      </w:r>
    </w:p>
    <w:p w14:paraId="1E396481" w14:textId="21A54A3A" w:rsidR="00FC39EF" w:rsidRPr="00D3412D" w:rsidRDefault="00FC39EF" w:rsidP="00FC39EF">
      <w:pPr>
        <w:spacing w:after="0" w:line="480" w:lineRule="auto"/>
        <w:ind w:right="90" w:firstLine="720"/>
        <w:jc w:val="both"/>
        <w:rPr>
          <w:rFonts w:ascii="Times New Roman" w:hAnsi="Times New Roman" w:cs="Times New Roman"/>
          <w:sz w:val="24"/>
          <w:szCs w:val="24"/>
        </w:rPr>
      </w:pPr>
      <w:bookmarkStart w:id="24" w:name="_Hlk178079847"/>
      <w:r>
        <w:rPr>
          <w:rFonts w:ascii="Times New Roman" w:hAnsi="Times New Roman" w:cs="Times New Roman"/>
          <w:sz w:val="24"/>
          <w:szCs w:val="24"/>
        </w:rPr>
        <w:t xml:space="preserve">It is also worth commenting on the </w:t>
      </w:r>
      <w:r w:rsidRPr="00D3412D">
        <w:rPr>
          <w:rFonts w:ascii="Times New Roman" w:hAnsi="Times New Roman" w:cs="Times New Roman"/>
          <w:sz w:val="24"/>
          <w:szCs w:val="24"/>
        </w:rPr>
        <w:t>empirical studies showing that polluting firms have a lower stock price than clean firms relative to current earnings.</w:t>
      </w:r>
      <w:r w:rsidRPr="00D3412D">
        <w:rPr>
          <w:rFonts w:ascii="Times New Roman" w:hAnsi="Times New Roman" w:cs="Times New Roman"/>
          <w:sz w:val="24"/>
          <w:szCs w:val="24"/>
          <w:vertAlign w:val="superscript"/>
        </w:rPr>
        <w:footnoteReference w:id="112"/>
      </w:r>
      <w:r w:rsidRPr="00D3412D">
        <w:rPr>
          <w:rFonts w:ascii="Times New Roman" w:hAnsi="Times New Roman" w:cs="Times New Roman"/>
          <w:sz w:val="24"/>
          <w:szCs w:val="24"/>
        </w:rPr>
        <w:t xml:space="preserve"> These studies, however, do not establish that the polluting firms’ lower stock price is the result of identity investors avoiding their shares and th</w:t>
      </w:r>
      <w:r>
        <w:rPr>
          <w:rFonts w:ascii="Times New Roman" w:hAnsi="Times New Roman" w:cs="Times New Roman"/>
          <w:sz w:val="24"/>
          <w:szCs w:val="24"/>
        </w:rPr>
        <w:t xml:space="preserve">at </w:t>
      </w:r>
      <w:r w:rsidR="00583052">
        <w:rPr>
          <w:rFonts w:ascii="Times New Roman" w:hAnsi="Times New Roman" w:cs="Times New Roman"/>
          <w:sz w:val="24"/>
          <w:szCs w:val="24"/>
        </w:rPr>
        <w:t xml:space="preserve">leading </w:t>
      </w:r>
      <w:r w:rsidRPr="00D3412D">
        <w:rPr>
          <w:rFonts w:ascii="Times New Roman" w:hAnsi="Times New Roman" w:cs="Times New Roman"/>
          <w:sz w:val="24"/>
          <w:szCs w:val="24"/>
        </w:rPr>
        <w:t>to the polluting firms’ expected future earnings being discounted at a higher rate</w:t>
      </w:r>
      <w:r w:rsidR="00796064">
        <w:rPr>
          <w:rFonts w:ascii="Times New Roman" w:hAnsi="Times New Roman" w:cs="Times New Roman"/>
          <w:sz w:val="24"/>
          <w:szCs w:val="24"/>
        </w:rPr>
        <w:t xml:space="preserve">. </w:t>
      </w:r>
      <w:bookmarkEnd w:id="24"/>
      <w:r w:rsidRPr="00D3412D">
        <w:rPr>
          <w:rFonts w:ascii="Times New Roman" w:hAnsi="Times New Roman" w:cs="Times New Roman"/>
          <w:sz w:val="24"/>
          <w:szCs w:val="24"/>
        </w:rPr>
        <w:t xml:space="preserve">Polluting firms on average may have one or more other attributes, unrelated to a sorting-induced higher discount rate, that can lead to having a lower price relative to their current </w:t>
      </w:r>
      <w:r w:rsidRPr="00D3412D">
        <w:rPr>
          <w:rFonts w:ascii="Times New Roman" w:hAnsi="Times New Roman" w:cs="Times New Roman"/>
          <w:sz w:val="24"/>
          <w:szCs w:val="24"/>
        </w:rPr>
        <w:lastRenderedPageBreak/>
        <w:t>earnings</w:t>
      </w:r>
      <w:r w:rsidR="00796064">
        <w:rPr>
          <w:rFonts w:ascii="Times New Roman" w:hAnsi="Times New Roman" w:cs="Times New Roman"/>
          <w:sz w:val="24"/>
          <w:szCs w:val="24"/>
        </w:rPr>
        <w:t xml:space="preserve">. </w:t>
      </w:r>
      <w:r w:rsidRPr="00D3412D">
        <w:rPr>
          <w:rFonts w:ascii="Times New Roman" w:hAnsi="Times New Roman" w:cs="Times New Roman"/>
          <w:sz w:val="24"/>
          <w:szCs w:val="24"/>
        </w:rPr>
        <w:t>For example, because of the industries in which polluting firms are concentrated (think “smokestack industries”), their expected future earnings may be lower than those of the non-polluting firms (think of the concentration of “growth stocks” in high tech, low polluting industries)</w:t>
      </w:r>
      <w:r w:rsidR="00796064">
        <w:rPr>
          <w:rFonts w:ascii="Times New Roman" w:hAnsi="Times New Roman" w:cs="Times New Roman"/>
          <w:sz w:val="24"/>
          <w:szCs w:val="24"/>
        </w:rPr>
        <w:t xml:space="preserve">. </w:t>
      </w:r>
      <w:r w:rsidRPr="00D3412D">
        <w:rPr>
          <w:rFonts w:ascii="Times New Roman" w:hAnsi="Times New Roman" w:cs="Times New Roman"/>
          <w:sz w:val="24"/>
          <w:szCs w:val="24"/>
        </w:rPr>
        <w:t>It is also possible that the industries in which polluting firms are concentrated have associated with them higher discount rates for reasons relating to the inherent riskiness of their future cash flows rather than a sorting-induced reason</w:t>
      </w:r>
      <w:r w:rsidR="00796064">
        <w:rPr>
          <w:rFonts w:ascii="Times New Roman" w:hAnsi="Times New Roman" w:cs="Times New Roman"/>
          <w:sz w:val="24"/>
          <w:szCs w:val="24"/>
        </w:rPr>
        <w:t xml:space="preserve">. </w:t>
      </w:r>
      <w:r w:rsidRPr="00D3412D">
        <w:rPr>
          <w:rFonts w:ascii="Times New Roman" w:hAnsi="Times New Roman" w:cs="Times New Roman"/>
          <w:sz w:val="24"/>
          <w:szCs w:val="24"/>
        </w:rPr>
        <w:t xml:space="preserve">The studies </w:t>
      </w:r>
      <w:r>
        <w:rPr>
          <w:rFonts w:ascii="Times New Roman" w:hAnsi="Times New Roman" w:cs="Times New Roman"/>
          <w:sz w:val="24"/>
          <w:szCs w:val="24"/>
        </w:rPr>
        <w:t xml:space="preserve">showing inferior price-earnings ratios for polluting firms </w:t>
      </w:r>
      <w:r w:rsidRPr="00D3412D">
        <w:rPr>
          <w:rFonts w:ascii="Times New Roman" w:hAnsi="Times New Roman" w:cs="Times New Roman"/>
          <w:sz w:val="24"/>
          <w:szCs w:val="24"/>
        </w:rPr>
        <w:t>do not rule out these alternative explanations of their results.</w:t>
      </w:r>
    </w:p>
    <w:p w14:paraId="1AD16BDA" w14:textId="77777777" w:rsidR="00FC39EF" w:rsidRDefault="00FC39EF" w:rsidP="00FC39EF">
      <w:pPr>
        <w:spacing w:after="0" w:line="480" w:lineRule="auto"/>
        <w:ind w:right="90" w:firstLine="720"/>
        <w:jc w:val="both"/>
        <w:rPr>
          <w:rFonts w:ascii="Times New Roman" w:hAnsi="Times New Roman" w:cs="Times New Roman"/>
          <w:sz w:val="24"/>
          <w:szCs w:val="24"/>
        </w:rPr>
      </w:pPr>
      <w:r w:rsidRPr="00D3412D">
        <w:rPr>
          <w:rFonts w:ascii="Times New Roman" w:hAnsi="Times New Roman" w:cs="Times New Roman"/>
          <w:sz w:val="24"/>
          <w:szCs w:val="24"/>
        </w:rPr>
        <w:t xml:space="preserve">To summarize, while there is strong theoretical support for the proposition that sorting can generate price effects, at least in the circumstance considered above, the empirical findings to date are mixed as to whether the realized price effect is meaningful or not. But even if sorting has or is expected to generate non-trivial price effects, there are important reasons why those price effects may not result in significant changes </w:t>
      </w:r>
      <w:r>
        <w:rPr>
          <w:rFonts w:ascii="Times New Roman" w:hAnsi="Times New Roman" w:cs="Times New Roman"/>
          <w:sz w:val="24"/>
          <w:szCs w:val="24"/>
        </w:rPr>
        <w:t>in the socially negative corporate behaviors that spawned them, particularly in the shorter run.</w:t>
      </w:r>
    </w:p>
    <w:p w14:paraId="6F234C81" w14:textId="77777777" w:rsidR="00FC39EF" w:rsidRDefault="00FC39EF" w:rsidP="00FC39EF">
      <w:pPr>
        <w:spacing w:after="0" w:line="480" w:lineRule="auto"/>
        <w:ind w:right="90" w:firstLine="720"/>
        <w:jc w:val="center"/>
        <w:rPr>
          <w:rFonts w:ascii="Times New Roman" w:hAnsi="Times New Roman" w:cs="Times New Roman"/>
          <w:sz w:val="24"/>
          <w:szCs w:val="24"/>
        </w:rPr>
      </w:pPr>
      <w:r>
        <w:rPr>
          <w:rFonts w:ascii="Times New Roman" w:hAnsi="Times New Roman" w:cs="Times New Roman"/>
          <w:i/>
          <w:sz w:val="24"/>
          <w:szCs w:val="24"/>
        </w:rPr>
        <w:t>E. Policy Implications</w:t>
      </w:r>
    </w:p>
    <w:p w14:paraId="383AE78D" w14:textId="707C435C" w:rsidR="00FC39EF" w:rsidRDefault="00FC39EF" w:rsidP="00FC39EF">
      <w:pPr>
        <w:spacing w:after="0" w:line="480" w:lineRule="auto"/>
        <w:ind w:right="90" w:firstLine="720"/>
        <w:jc w:val="both"/>
        <w:rPr>
          <w:rFonts w:ascii="Times New Roman" w:hAnsi="Times New Roman" w:cs="Times New Roman"/>
          <w:sz w:val="24"/>
          <w:szCs w:val="24"/>
        </w:rPr>
      </w:pPr>
      <w:r>
        <w:rPr>
          <w:rFonts w:ascii="Times New Roman" w:hAnsi="Times New Roman" w:cs="Times New Roman"/>
          <w:sz w:val="24"/>
          <w:szCs w:val="24"/>
        </w:rPr>
        <w:t>What are the policy implications of this second stage analysis that recognizes that investors in the composition of the</w:t>
      </w:r>
      <w:r w:rsidR="009020B3">
        <w:rPr>
          <w:rFonts w:ascii="Times New Roman" w:hAnsi="Times New Roman" w:cs="Times New Roman"/>
          <w:sz w:val="24"/>
          <w:szCs w:val="24"/>
        </w:rPr>
        <w:t>ir</w:t>
      </w:r>
      <w:r>
        <w:rPr>
          <w:rFonts w:ascii="Times New Roman" w:hAnsi="Times New Roman" w:cs="Times New Roman"/>
          <w:sz w:val="24"/>
          <w:szCs w:val="24"/>
        </w:rPr>
        <w:t xml:space="preserve"> portfolios may sort according to their preferences with regard to firm behavior?  At the most general level, this boils down to two sub questions: one is whether identity investing should actually be discouraged and the other being should it somehow be facilitated</w:t>
      </w:r>
      <w:r w:rsidR="00796064">
        <w:rPr>
          <w:rFonts w:ascii="Times New Roman" w:hAnsi="Times New Roman" w:cs="Times New Roman"/>
          <w:sz w:val="24"/>
          <w:szCs w:val="24"/>
        </w:rPr>
        <w:t xml:space="preserve">. </w:t>
      </w:r>
    </w:p>
    <w:p w14:paraId="46D1DB46" w14:textId="41A347B2" w:rsidR="00FC39EF" w:rsidRDefault="00FC39EF" w:rsidP="00FC39EF">
      <w:pPr>
        <w:spacing w:after="0" w:line="480" w:lineRule="auto"/>
        <w:ind w:right="90" w:firstLine="720"/>
        <w:jc w:val="both"/>
        <w:rPr>
          <w:rFonts w:ascii="Times New Roman" w:hAnsi="Times New Roman" w:cs="Times New Roman"/>
          <w:sz w:val="24"/>
          <w:szCs w:val="24"/>
        </w:rPr>
      </w:pPr>
      <w:r>
        <w:rPr>
          <w:rFonts w:ascii="Times New Roman" w:hAnsi="Times New Roman" w:cs="Times New Roman"/>
          <w:sz w:val="24"/>
          <w:szCs w:val="24"/>
        </w:rPr>
        <w:t>To the extent that it is genuinely individual preferences at work, it is going to be hard to argue that there are good grounds for public policies that somehow hinder identity investing</w:t>
      </w:r>
      <w:r w:rsidR="00796064">
        <w:rPr>
          <w:rFonts w:ascii="Times New Roman" w:hAnsi="Times New Roman" w:cs="Times New Roman"/>
          <w:sz w:val="24"/>
          <w:szCs w:val="24"/>
        </w:rPr>
        <w:t xml:space="preserve">. </w:t>
      </w:r>
      <w:r>
        <w:rPr>
          <w:rFonts w:ascii="Times New Roman" w:hAnsi="Times New Roman" w:cs="Times New Roman"/>
          <w:sz w:val="24"/>
          <w:szCs w:val="24"/>
        </w:rPr>
        <w:t>To start with, there is not yet clear empirical evidence that any kind of identity investing has even ha</w:t>
      </w:r>
      <w:r w:rsidR="002650E3">
        <w:rPr>
          <w:rFonts w:ascii="Times New Roman" w:hAnsi="Times New Roman" w:cs="Times New Roman"/>
          <w:sz w:val="24"/>
          <w:szCs w:val="24"/>
        </w:rPr>
        <w:t>d</w:t>
      </w:r>
      <w:r>
        <w:rPr>
          <w:rFonts w:ascii="Times New Roman" w:hAnsi="Times New Roman" w:cs="Times New Roman"/>
          <w:sz w:val="24"/>
          <w:szCs w:val="24"/>
        </w:rPr>
        <w:t xml:space="preserve"> a meaningful price</w:t>
      </w:r>
      <w:r w:rsidR="002650E3">
        <w:rPr>
          <w:rFonts w:ascii="Times New Roman" w:hAnsi="Times New Roman" w:cs="Times New Roman"/>
          <w:sz w:val="24"/>
          <w:szCs w:val="24"/>
        </w:rPr>
        <w:t xml:space="preserve"> effect</w:t>
      </w:r>
      <w:r>
        <w:rPr>
          <w:rFonts w:ascii="Times New Roman" w:hAnsi="Times New Roman" w:cs="Times New Roman"/>
          <w:sz w:val="24"/>
          <w:szCs w:val="24"/>
        </w:rPr>
        <w:t>, let alone that it has significantly altered firm behavior</w:t>
      </w:r>
      <w:r w:rsidR="00796064">
        <w:rPr>
          <w:rFonts w:ascii="Times New Roman" w:hAnsi="Times New Roman" w:cs="Times New Roman"/>
          <w:sz w:val="24"/>
          <w:szCs w:val="24"/>
        </w:rPr>
        <w:t xml:space="preserve">. </w:t>
      </w:r>
      <w:r>
        <w:rPr>
          <w:rFonts w:ascii="Times New Roman" w:hAnsi="Times New Roman" w:cs="Times New Roman"/>
          <w:sz w:val="24"/>
          <w:szCs w:val="24"/>
        </w:rPr>
        <w:t xml:space="preserve">Even if there </w:t>
      </w:r>
      <w:r>
        <w:rPr>
          <w:rFonts w:ascii="Times New Roman" w:hAnsi="Times New Roman" w:cs="Times New Roman"/>
          <w:sz w:val="24"/>
          <w:szCs w:val="24"/>
        </w:rPr>
        <w:lastRenderedPageBreak/>
        <w:t xml:space="preserve">were </w:t>
      </w:r>
      <w:r w:rsidR="00E6461A">
        <w:rPr>
          <w:rFonts w:ascii="Times New Roman" w:hAnsi="Times New Roman" w:cs="Times New Roman"/>
          <w:sz w:val="24"/>
          <w:szCs w:val="24"/>
        </w:rPr>
        <w:t>stronger</w:t>
      </w:r>
      <w:r>
        <w:rPr>
          <w:rFonts w:ascii="Times New Roman" w:hAnsi="Times New Roman" w:cs="Times New Roman"/>
          <w:sz w:val="24"/>
          <w:szCs w:val="24"/>
        </w:rPr>
        <w:t xml:space="preserve"> evidence that it did change firm behavior, that impact seems perfectly appropriate from an efficiency point of view if an investor’s utility function is included in the calculation</w:t>
      </w:r>
      <w:r w:rsidR="00583052">
        <w:rPr>
          <w:rFonts w:ascii="Times New Roman" w:hAnsi="Times New Roman" w:cs="Times New Roman"/>
          <w:sz w:val="24"/>
          <w:szCs w:val="24"/>
        </w:rPr>
        <w:t>.</w:t>
      </w:r>
      <w:r>
        <w:rPr>
          <w:rFonts w:ascii="Times New Roman" w:hAnsi="Times New Roman" w:cs="Times New Roman"/>
          <w:sz w:val="24"/>
          <w:szCs w:val="24"/>
        </w:rPr>
        <w:t xml:space="preserve"> </w:t>
      </w:r>
      <w:r w:rsidR="00583052">
        <w:rPr>
          <w:rFonts w:ascii="Times New Roman" w:hAnsi="Times New Roman" w:cs="Times New Roman"/>
          <w:sz w:val="24"/>
          <w:szCs w:val="24"/>
        </w:rPr>
        <w:t xml:space="preserve">Moreover, </w:t>
      </w:r>
      <w:r w:rsidR="00192CB2">
        <w:rPr>
          <w:rFonts w:ascii="Times New Roman" w:hAnsi="Times New Roman" w:cs="Times New Roman"/>
          <w:sz w:val="24"/>
          <w:szCs w:val="24"/>
        </w:rPr>
        <w:t>although it is imaginable the externality-correcting aspect of it could represent ill-informed overkill, at anything like what appears to be today’s level of identity investing, any effect on corporate behavior that it has will probably helpful in reducing externalities. A</w:t>
      </w:r>
      <w:r>
        <w:rPr>
          <w:rFonts w:ascii="Times New Roman" w:hAnsi="Times New Roman" w:cs="Times New Roman"/>
          <w:sz w:val="24"/>
          <w:szCs w:val="24"/>
        </w:rPr>
        <w:t>nd, while it would lead to winners and losers like most developments in the market, it would not appear to lead to, or reinforce, any inequities.</w:t>
      </w:r>
    </w:p>
    <w:p w14:paraId="7BD5D81B" w14:textId="6F1C96B0" w:rsidR="00FC39EF" w:rsidRDefault="00FC39EF" w:rsidP="00FC39EF">
      <w:pPr>
        <w:spacing w:after="0" w:line="480" w:lineRule="auto"/>
        <w:ind w:right="90" w:firstLine="720"/>
        <w:jc w:val="both"/>
        <w:rPr>
          <w:rFonts w:ascii="Times New Roman" w:hAnsi="Times New Roman" w:cs="Times New Roman"/>
          <w:sz w:val="24"/>
          <w:szCs w:val="24"/>
        </w:rPr>
      </w:pPr>
      <w:r>
        <w:rPr>
          <w:rFonts w:ascii="Times New Roman" w:hAnsi="Times New Roman" w:cs="Times New Roman"/>
          <w:sz w:val="24"/>
          <w:szCs w:val="24"/>
        </w:rPr>
        <w:t>A more interesting question is whether identity investing should be facilitated</w:t>
      </w:r>
      <w:r w:rsidR="00192CB2">
        <w:rPr>
          <w:rFonts w:ascii="Times New Roman" w:hAnsi="Times New Roman" w:cs="Times New Roman"/>
          <w:sz w:val="24"/>
          <w:szCs w:val="24"/>
        </w:rPr>
        <w:t xml:space="preserve"> by regulation</w:t>
      </w:r>
      <w:r w:rsidR="00796064">
        <w:rPr>
          <w:rFonts w:ascii="Times New Roman" w:hAnsi="Times New Roman" w:cs="Times New Roman"/>
          <w:sz w:val="24"/>
          <w:szCs w:val="24"/>
        </w:rPr>
        <w:t xml:space="preserve">. </w:t>
      </w:r>
      <w:r>
        <w:rPr>
          <w:rFonts w:ascii="Times New Roman" w:hAnsi="Times New Roman" w:cs="Times New Roman"/>
          <w:sz w:val="24"/>
          <w:szCs w:val="24"/>
        </w:rPr>
        <w:t>Here, the extent to which it affects firm behavior is more critical, although there is a bit of a “chicken or the egg” aspect to the inquiry</w:t>
      </w:r>
      <w:r w:rsidR="00796064">
        <w:rPr>
          <w:rFonts w:ascii="Times New Roman" w:hAnsi="Times New Roman" w:cs="Times New Roman"/>
          <w:sz w:val="24"/>
          <w:szCs w:val="24"/>
        </w:rPr>
        <w:t xml:space="preserve">. </w:t>
      </w:r>
      <w:r>
        <w:rPr>
          <w:rFonts w:ascii="Times New Roman" w:hAnsi="Times New Roman" w:cs="Times New Roman"/>
          <w:sz w:val="24"/>
          <w:szCs w:val="24"/>
        </w:rPr>
        <w:t xml:space="preserve">The less controversial issue relates to </w:t>
      </w:r>
      <w:r w:rsidR="00192CB2">
        <w:rPr>
          <w:rFonts w:ascii="Times New Roman" w:hAnsi="Times New Roman" w:cs="Times New Roman"/>
          <w:sz w:val="24"/>
          <w:szCs w:val="24"/>
        </w:rPr>
        <w:t xml:space="preserve">mandating </w:t>
      </w:r>
      <w:r>
        <w:rPr>
          <w:rFonts w:ascii="Times New Roman" w:hAnsi="Times New Roman" w:cs="Times New Roman"/>
          <w:sz w:val="24"/>
          <w:szCs w:val="24"/>
        </w:rPr>
        <w:t xml:space="preserve">disclosure by investment </w:t>
      </w:r>
      <w:r w:rsidRPr="006A40F1">
        <w:rPr>
          <w:rFonts w:ascii="Times New Roman" w:hAnsi="Times New Roman" w:cs="Times New Roman"/>
          <w:i/>
          <w:sz w:val="24"/>
          <w:szCs w:val="24"/>
        </w:rPr>
        <w:t>funds</w:t>
      </w:r>
      <w:r>
        <w:rPr>
          <w:rFonts w:ascii="Times New Roman" w:hAnsi="Times New Roman" w:cs="Times New Roman"/>
          <w:sz w:val="24"/>
          <w:szCs w:val="24"/>
        </w:rPr>
        <w:t xml:space="preserve"> that purport to support investing related to particular social ends</w:t>
      </w:r>
      <w:r w:rsidR="00796064">
        <w:rPr>
          <w:rFonts w:ascii="Times New Roman" w:hAnsi="Times New Roman" w:cs="Times New Roman"/>
          <w:sz w:val="24"/>
          <w:szCs w:val="24"/>
        </w:rPr>
        <w:t xml:space="preserve">. </w:t>
      </w:r>
      <w:r>
        <w:rPr>
          <w:rFonts w:ascii="Times New Roman" w:hAnsi="Times New Roman" w:cs="Times New Roman"/>
          <w:sz w:val="24"/>
          <w:szCs w:val="24"/>
        </w:rPr>
        <w:t>If investors cannot rely on the claims of fund sponsors, less such investing will occur and investors may end up paying management fees for something they are not getting</w:t>
      </w:r>
      <w:r w:rsidR="00796064">
        <w:rPr>
          <w:rFonts w:ascii="Times New Roman" w:hAnsi="Times New Roman" w:cs="Times New Roman"/>
          <w:sz w:val="24"/>
          <w:szCs w:val="24"/>
        </w:rPr>
        <w:t>.</w:t>
      </w:r>
      <w:r w:rsidR="00573F40">
        <w:rPr>
          <w:rStyle w:val="FootnoteReference"/>
          <w:rFonts w:ascii="Times New Roman" w:hAnsi="Times New Roman" w:cs="Times New Roman"/>
          <w:sz w:val="24"/>
          <w:szCs w:val="24"/>
        </w:rPr>
        <w:footnoteReference w:id="113"/>
      </w:r>
      <w:r w:rsidR="00573F40">
        <w:rPr>
          <w:rFonts w:ascii="Times New Roman" w:hAnsi="Times New Roman" w:cs="Times New Roman"/>
          <w:sz w:val="24"/>
          <w:szCs w:val="24"/>
        </w:rPr>
        <w:t xml:space="preserve"> </w:t>
      </w:r>
      <w:r w:rsidR="00796064">
        <w:rPr>
          <w:rFonts w:ascii="Times New Roman" w:hAnsi="Times New Roman" w:cs="Times New Roman"/>
          <w:sz w:val="24"/>
          <w:szCs w:val="24"/>
        </w:rPr>
        <w:t xml:space="preserve"> </w:t>
      </w:r>
    </w:p>
    <w:p w14:paraId="55D06F2E" w14:textId="5FD7D77C" w:rsidR="00FC39EF" w:rsidRPr="00D41EE3" w:rsidRDefault="00FC39EF" w:rsidP="00FC39EF">
      <w:pPr>
        <w:spacing w:after="0" w:line="480" w:lineRule="auto"/>
        <w:ind w:right="90" w:firstLine="720"/>
        <w:jc w:val="both"/>
        <w:rPr>
          <w:rFonts w:ascii="Times New Roman" w:hAnsi="Times New Roman" w:cs="Times New Roman"/>
          <w:sz w:val="24"/>
          <w:szCs w:val="24"/>
        </w:rPr>
      </w:pPr>
      <w:r>
        <w:rPr>
          <w:rFonts w:ascii="Times New Roman" w:hAnsi="Times New Roman" w:cs="Times New Roman"/>
          <w:sz w:val="24"/>
          <w:szCs w:val="24"/>
        </w:rPr>
        <w:t xml:space="preserve">The more controversial issue is mandatory </w:t>
      </w:r>
      <w:r w:rsidRPr="006A40F1">
        <w:rPr>
          <w:rFonts w:ascii="Times New Roman" w:hAnsi="Times New Roman" w:cs="Times New Roman"/>
          <w:i/>
          <w:sz w:val="24"/>
          <w:szCs w:val="24"/>
        </w:rPr>
        <w:t>issuer</w:t>
      </w:r>
      <w:r>
        <w:rPr>
          <w:rFonts w:ascii="Times New Roman" w:hAnsi="Times New Roman" w:cs="Times New Roman"/>
          <w:sz w:val="24"/>
          <w:szCs w:val="24"/>
        </w:rPr>
        <w:t xml:space="preserve"> disclosure, since it </w:t>
      </w:r>
      <w:r w:rsidR="003D03C8">
        <w:rPr>
          <w:rFonts w:ascii="Times New Roman" w:hAnsi="Times New Roman" w:cs="Times New Roman"/>
          <w:sz w:val="24"/>
          <w:szCs w:val="24"/>
        </w:rPr>
        <w:t xml:space="preserve">is </w:t>
      </w:r>
      <w:r>
        <w:rPr>
          <w:rFonts w:ascii="Times New Roman" w:hAnsi="Times New Roman" w:cs="Times New Roman"/>
          <w:sz w:val="24"/>
          <w:szCs w:val="24"/>
        </w:rPr>
        <w:t>expensive for a corporation to gather and credibly report on its activities’ social impacts along multiple dimensions</w:t>
      </w:r>
      <w:r w:rsidR="00796064">
        <w:rPr>
          <w:rFonts w:ascii="Times New Roman" w:hAnsi="Times New Roman" w:cs="Times New Roman"/>
          <w:sz w:val="24"/>
          <w:szCs w:val="24"/>
        </w:rPr>
        <w:t>.</w:t>
      </w:r>
      <w:r w:rsidR="00856A34">
        <w:rPr>
          <w:rStyle w:val="FootnoteReference"/>
          <w:rFonts w:ascii="Times New Roman" w:hAnsi="Times New Roman" w:cs="Times New Roman"/>
          <w:sz w:val="24"/>
          <w:szCs w:val="24"/>
        </w:rPr>
        <w:footnoteReference w:id="114"/>
      </w:r>
      <w:r w:rsidR="00796064">
        <w:rPr>
          <w:rFonts w:ascii="Times New Roman" w:hAnsi="Times New Roman" w:cs="Times New Roman"/>
          <w:sz w:val="24"/>
          <w:szCs w:val="24"/>
        </w:rPr>
        <w:t xml:space="preserve"> </w:t>
      </w:r>
      <w:r>
        <w:rPr>
          <w:rFonts w:ascii="Times New Roman" w:hAnsi="Times New Roman" w:cs="Times New Roman"/>
          <w:sz w:val="24"/>
          <w:szCs w:val="24"/>
        </w:rPr>
        <w:t xml:space="preserve">To the extent that </w:t>
      </w:r>
      <w:r w:rsidR="003D03C8">
        <w:rPr>
          <w:rFonts w:ascii="Times New Roman" w:hAnsi="Times New Roman" w:cs="Times New Roman"/>
          <w:sz w:val="24"/>
          <w:szCs w:val="24"/>
        </w:rPr>
        <w:t xml:space="preserve">a substantial amount of </w:t>
      </w:r>
      <w:r>
        <w:rPr>
          <w:rFonts w:ascii="Times New Roman" w:hAnsi="Times New Roman" w:cs="Times New Roman"/>
          <w:sz w:val="24"/>
          <w:szCs w:val="24"/>
        </w:rPr>
        <w:t>identity investing is already occurring with regard to some social concern and having an impact</w:t>
      </w:r>
      <w:r w:rsidR="003D03C8">
        <w:rPr>
          <w:rFonts w:ascii="Times New Roman" w:hAnsi="Times New Roman" w:cs="Times New Roman"/>
          <w:sz w:val="24"/>
          <w:szCs w:val="24"/>
        </w:rPr>
        <w:t xml:space="preserve"> on prices</w:t>
      </w:r>
      <w:r>
        <w:rPr>
          <w:rFonts w:ascii="Times New Roman" w:hAnsi="Times New Roman" w:cs="Times New Roman"/>
          <w:sz w:val="24"/>
          <w:szCs w:val="24"/>
        </w:rPr>
        <w:t>, the case for mandatory disclosure re</w:t>
      </w:r>
      <w:r w:rsidR="003D03C8">
        <w:rPr>
          <w:rFonts w:ascii="Times New Roman" w:hAnsi="Times New Roman" w:cs="Times New Roman"/>
          <w:sz w:val="24"/>
          <w:szCs w:val="24"/>
        </w:rPr>
        <w:t xml:space="preserve">lating to </w:t>
      </w:r>
      <w:r>
        <w:rPr>
          <w:rFonts w:ascii="Times New Roman" w:hAnsi="Times New Roman" w:cs="Times New Roman"/>
          <w:sz w:val="24"/>
          <w:szCs w:val="24"/>
        </w:rPr>
        <w:t xml:space="preserve">the </w:t>
      </w:r>
      <w:r w:rsidR="00192CB2">
        <w:rPr>
          <w:rFonts w:ascii="Times New Roman" w:hAnsi="Times New Roman" w:cs="Times New Roman"/>
          <w:sz w:val="24"/>
          <w:szCs w:val="24"/>
        </w:rPr>
        <w:t>effects</w:t>
      </w:r>
      <w:r>
        <w:rPr>
          <w:rFonts w:ascii="Times New Roman" w:hAnsi="Times New Roman" w:cs="Times New Roman"/>
          <w:sz w:val="24"/>
          <w:szCs w:val="24"/>
        </w:rPr>
        <w:t xml:space="preserve"> of a corporation’s activities with regard to this </w:t>
      </w:r>
      <w:r w:rsidR="003D03C8">
        <w:rPr>
          <w:rFonts w:ascii="Times New Roman" w:hAnsi="Times New Roman" w:cs="Times New Roman"/>
          <w:sz w:val="24"/>
          <w:szCs w:val="24"/>
        </w:rPr>
        <w:t xml:space="preserve">social </w:t>
      </w:r>
      <w:r>
        <w:rPr>
          <w:rFonts w:ascii="Times New Roman" w:hAnsi="Times New Roman" w:cs="Times New Roman"/>
          <w:sz w:val="24"/>
          <w:szCs w:val="24"/>
        </w:rPr>
        <w:t>concern is as strong as it is for information useful in predicting its future cash flows</w:t>
      </w:r>
      <w:r w:rsidR="00796064">
        <w:rPr>
          <w:rFonts w:ascii="Times New Roman" w:hAnsi="Times New Roman" w:cs="Times New Roman"/>
          <w:sz w:val="24"/>
          <w:szCs w:val="24"/>
        </w:rPr>
        <w:t xml:space="preserve">. </w:t>
      </w:r>
      <w:r w:rsidR="003D03C8">
        <w:rPr>
          <w:rFonts w:ascii="Times New Roman" w:hAnsi="Times New Roman" w:cs="Times New Roman"/>
          <w:sz w:val="24"/>
          <w:szCs w:val="24"/>
        </w:rPr>
        <w:t xml:space="preserve"> The issue is  whether, at least as of now, these prerequisites are met with respect to any social concern, a matter </w:t>
      </w:r>
      <w:r w:rsidR="003D03C8">
        <w:rPr>
          <w:rFonts w:ascii="Times New Roman" w:hAnsi="Times New Roman" w:cs="Times New Roman"/>
          <w:sz w:val="24"/>
          <w:szCs w:val="24"/>
        </w:rPr>
        <w:lastRenderedPageBreak/>
        <w:t xml:space="preserve">concerning which our review of the empirical literature suggests the jury is still out. </w:t>
      </w:r>
      <w:r>
        <w:rPr>
          <w:rFonts w:ascii="Times New Roman" w:hAnsi="Times New Roman" w:cs="Times New Roman"/>
          <w:sz w:val="24"/>
          <w:szCs w:val="24"/>
        </w:rPr>
        <w:t xml:space="preserve">The </w:t>
      </w:r>
      <w:r w:rsidR="003D03C8">
        <w:rPr>
          <w:rFonts w:ascii="Times New Roman" w:hAnsi="Times New Roman" w:cs="Times New Roman"/>
          <w:sz w:val="24"/>
          <w:szCs w:val="24"/>
        </w:rPr>
        <w:t xml:space="preserve">even </w:t>
      </w:r>
      <w:r>
        <w:rPr>
          <w:rFonts w:ascii="Times New Roman" w:hAnsi="Times New Roman" w:cs="Times New Roman"/>
          <w:sz w:val="24"/>
          <w:szCs w:val="24"/>
        </w:rPr>
        <w:t>more complicated issue relates to social concerns that are not already generating significant</w:t>
      </w:r>
      <w:r w:rsidR="004A58B6">
        <w:rPr>
          <w:rFonts w:ascii="Times New Roman" w:hAnsi="Times New Roman" w:cs="Times New Roman"/>
          <w:sz w:val="24"/>
          <w:szCs w:val="24"/>
        </w:rPr>
        <w:t>, price altering</w:t>
      </w:r>
      <w:r>
        <w:rPr>
          <w:rFonts w:ascii="Times New Roman" w:hAnsi="Times New Roman" w:cs="Times New Roman"/>
          <w:sz w:val="24"/>
          <w:szCs w:val="24"/>
        </w:rPr>
        <w:t xml:space="preserve"> identity investing</w:t>
      </w:r>
      <w:r w:rsidR="00796064">
        <w:rPr>
          <w:rFonts w:ascii="Times New Roman" w:hAnsi="Times New Roman" w:cs="Times New Roman"/>
          <w:sz w:val="24"/>
          <w:szCs w:val="24"/>
        </w:rPr>
        <w:t xml:space="preserve">. </w:t>
      </w:r>
      <w:r>
        <w:rPr>
          <w:rFonts w:ascii="Times New Roman" w:hAnsi="Times New Roman" w:cs="Times New Roman"/>
          <w:sz w:val="24"/>
          <w:szCs w:val="24"/>
        </w:rPr>
        <w:t xml:space="preserve">The question is whether with disclosure, substantial firm-behavior-altering identity investing will arise. The best argument for experimenting with providing the disclosure where there seems a real potential for such identity investing is </w:t>
      </w:r>
      <w:r w:rsidR="004A58B6">
        <w:rPr>
          <w:rFonts w:ascii="Times New Roman" w:hAnsi="Times New Roman" w:cs="Times New Roman"/>
          <w:sz w:val="24"/>
          <w:szCs w:val="24"/>
        </w:rPr>
        <w:t xml:space="preserve">as follows:  using disclosure appears to us to be </w:t>
      </w:r>
      <w:r>
        <w:rPr>
          <w:rFonts w:ascii="Times New Roman" w:hAnsi="Times New Roman" w:cs="Times New Roman"/>
          <w:sz w:val="24"/>
          <w:szCs w:val="24"/>
        </w:rPr>
        <w:t xml:space="preserve">a </w:t>
      </w:r>
      <w:r w:rsidR="004A58B6">
        <w:rPr>
          <w:rFonts w:ascii="Times New Roman" w:hAnsi="Times New Roman" w:cs="Times New Roman"/>
          <w:sz w:val="24"/>
          <w:szCs w:val="24"/>
        </w:rPr>
        <w:t>more attra</w:t>
      </w:r>
      <w:r w:rsidR="008058D4">
        <w:rPr>
          <w:rFonts w:ascii="Times New Roman" w:hAnsi="Times New Roman" w:cs="Times New Roman"/>
          <w:sz w:val="24"/>
          <w:szCs w:val="24"/>
        </w:rPr>
        <w:t>cti</w:t>
      </w:r>
      <w:r w:rsidR="004A58B6">
        <w:rPr>
          <w:rFonts w:ascii="Times New Roman" w:hAnsi="Times New Roman" w:cs="Times New Roman"/>
          <w:sz w:val="24"/>
          <w:szCs w:val="24"/>
        </w:rPr>
        <w:t xml:space="preserve">ve </w:t>
      </w:r>
      <w:r>
        <w:rPr>
          <w:rFonts w:ascii="Times New Roman" w:hAnsi="Times New Roman" w:cs="Times New Roman"/>
          <w:sz w:val="24"/>
          <w:szCs w:val="24"/>
        </w:rPr>
        <w:t>way of achieving socially oriented changes in corporate behavior</w:t>
      </w:r>
      <w:r w:rsidR="004A58B6">
        <w:rPr>
          <w:rFonts w:ascii="Times New Roman" w:hAnsi="Times New Roman" w:cs="Times New Roman"/>
          <w:sz w:val="24"/>
          <w:szCs w:val="24"/>
        </w:rPr>
        <w:t xml:space="preserve"> relative to the proposed franchise broadening reforms discussed in Part II</w:t>
      </w:r>
      <w:r w:rsidR="00796064">
        <w:rPr>
          <w:rFonts w:ascii="Times New Roman" w:hAnsi="Times New Roman" w:cs="Times New Roman"/>
          <w:sz w:val="24"/>
          <w:szCs w:val="24"/>
        </w:rPr>
        <w:t>.</w:t>
      </w:r>
      <w:r w:rsidR="00B04AC9">
        <w:rPr>
          <w:rStyle w:val="FootnoteReference"/>
          <w:rFonts w:ascii="Times New Roman" w:hAnsi="Times New Roman" w:cs="Times New Roman"/>
          <w:sz w:val="24"/>
          <w:szCs w:val="24"/>
        </w:rPr>
        <w:footnoteReference w:id="115"/>
      </w:r>
      <w:r w:rsidR="00796064">
        <w:rPr>
          <w:rFonts w:ascii="Times New Roman" w:hAnsi="Times New Roman" w:cs="Times New Roman"/>
          <w:sz w:val="24"/>
          <w:szCs w:val="24"/>
        </w:rPr>
        <w:t xml:space="preserve"> </w:t>
      </w:r>
      <w:r w:rsidR="004A58B6">
        <w:rPr>
          <w:rFonts w:ascii="Times New Roman" w:hAnsi="Times New Roman" w:cs="Times New Roman"/>
          <w:sz w:val="24"/>
          <w:szCs w:val="24"/>
        </w:rPr>
        <w:t xml:space="preserve"> Reforming corporate behavior through the pricing effects of identity investing </w:t>
      </w:r>
      <w:r>
        <w:rPr>
          <w:rFonts w:ascii="Times New Roman" w:hAnsi="Times New Roman" w:cs="Times New Roman"/>
          <w:sz w:val="24"/>
          <w:szCs w:val="24"/>
        </w:rPr>
        <w:t>does not consume the political energy that could be used to reform the governmental political system and to push for governmental actions that better control market failures and reduce inequity</w:t>
      </w:r>
      <w:r w:rsidR="00796064">
        <w:rPr>
          <w:rFonts w:ascii="Times New Roman" w:hAnsi="Times New Roman" w:cs="Times New Roman"/>
          <w:sz w:val="24"/>
          <w:szCs w:val="24"/>
        </w:rPr>
        <w:t xml:space="preserve">. </w:t>
      </w:r>
      <w:r>
        <w:rPr>
          <w:rFonts w:ascii="Times New Roman" w:hAnsi="Times New Roman" w:cs="Times New Roman"/>
          <w:sz w:val="24"/>
          <w:szCs w:val="24"/>
        </w:rPr>
        <w:t>And it does not require a socially costly lessening of the existing constraints against managers acting in self-interested ways</w:t>
      </w:r>
      <w:r w:rsidR="00887917">
        <w:rPr>
          <w:rFonts w:ascii="Times New Roman" w:hAnsi="Times New Roman" w:cs="Times New Roman"/>
          <w:sz w:val="24"/>
          <w:szCs w:val="24"/>
        </w:rPr>
        <w:t xml:space="preserve"> since managers would be continuing to maximize share value, just guided by altered share prices and cost of capital considerations</w:t>
      </w:r>
      <w:r w:rsidR="00796064">
        <w:rPr>
          <w:rFonts w:ascii="Times New Roman" w:hAnsi="Times New Roman" w:cs="Times New Roman"/>
          <w:sz w:val="24"/>
          <w:szCs w:val="24"/>
        </w:rPr>
        <w:t xml:space="preserve">. </w:t>
      </w:r>
      <w:r>
        <w:rPr>
          <w:rFonts w:ascii="Times New Roman" w:hAnsi="Times New Roman" w:cs="Times New Roman"/>
          <w:sz w:val="24"/>
          <w:szCs w:val="24"/>
        </w:rPr>
        <w:t>The costs of disclosure rather prime the pump for what is really a savings in information costs overall</w:t>
      </w:r>
      <w:r w:rsidR="00796064">
        <w:rPr>
          <w:rFonts w:ascii="Times New Roman" w:hAnsi="Times New Roman" w:cs="Times New Roman"/>
          <w:sz w:val="24"/>
          <w:szCs w:val="24"/>
        </w:rPr>
        <w:t xml:space="preserve">. </w:t>
      </w:r>
      <w:r>
        <w:rPr>
          <w:rFonts w:ascii="Times New Roman" w:hAnsi="Times New Roman" w:cs="Times New Roman"/>
          <w:sz w:val="24"/>
          <w:szCs w:val="24"/>
        </w:rPr>
        <w:t>Relative to behavior reform via corporate governance alterations, behavior reform via identity investing relies instead on information-cost-economizing market mechanisms by which managers, who continue to seek to maximize their share prices, seek to detect behaviors whereby the share price depressing effects of not maximizing cash flow are compensated by the share price increasing effects of the identity investors that the behaviors would attract</w:t>
      </w:r>
      <w:r w:rsidR="00796064">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8E5CD8F" w14:textId="77777777" w:rsidR="00856A34" w:rsidRPr="00624515" w:rsidRDefault="00856A34" w:rsidP="00856A34">
      <w:pPr>
        <w:pStyle w:val="ListParagraph"/>
        <w:numPr>
          <w:ilvl w:val="0"/>
          <w:numId w:val="44"/>
        </w:numPr>
        <w:spacing w:after="0" w:line="480" w:lineRule="auto"/>
        <w:ind w:right="90"/>
        <w:jc w:val="center"/>
        <w:rPr>
          <w:rFonts w:cs="Times New Roman"/>
          <w:b/>
          <w:bCs/>
          <w:sz w:val="24"/>
          <w:szCs w:val="24"/>
        </w:rPr>
      </w:pPr>
      <w:r w:rsidRPr="00624515">
        <w:rPr>
          <w:rFonts w:cs="Times New Roman"/>
          <w:b/>
          <w:bCs/>
          <w:sz w:val="24"/>
          <w:szCs w:val="24"/>
        </w:rPr>
        <w:t>Application of the Analysis</w:t>
      </w:r>
      <w:r>
        <w:rPr>
          <w:rFonts w:cs="Times New Roman"/>
          <w:b/>
          <w:bCs/>
          <w:sz w:val="24"/>
          <w:szCs w:val="24"/>
        </w:rPr>
        <w:t xml:space="preserve"> to the Corporate Purpose Debate</w:t>
      </w:r>
    </w:p>
    <w:p w14:paraId="2DA4FABF" w14:textId="03F5412B" w:rsidR="00C5384D" w:rsidRDefault="005005F1" w:rsidP="00DA15F6">
      <w:pPr>
        <w:spacing w:after="0" w:line="48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lastRenderedPageBreak/>
        <w:tab/>
      </w:r>
      <w:r w:rsidR="00856A34">
        <w:rPr>
          <w:rFonts w:ascii="Times New Roman" w:hAnsi="Times New Roman" w:cs="Times New Roman"/>
          <w:kern w:val="0"/>
          <w:sz w:val="24"/>
          <w:szCs w:val="24"/>
          <w14:ligatures w14:val="none"/>
        </w:rPr>
        <w:t>Parts I, II, III provid</w:t>
      </w:r>
      <w:r w:rsidR="0033569B">
        <w:rPr>
          <w:rFonts w:ascii="Times New Roman" w:hAnsi="Times New Roman" w:cs="Times New Roman"/>
          <w:kern w:val="0"/>
          <w:sz w:val="24"/>
          <w:szCs w:val="24"/>
          <w14:ligatures w14:val="none"/>
        </w:rPr>
        <w:t>e</w:t>
      </w:r>
      <w:r w:rsidR="00856A34">
        <w:rPr>
          <w:rFonts w:ascii="Times New Roman" w:hAnsi="Times New Roman" w:cs="Times New Roman"/>
          <w:kern w:val="0"/>
          <w:sz w:val="24"/>
          <w:szCs w:val="24"/>
          <w14:ligatures w14:val="none"/>
        </w:rPr>
        <w:t xml:space="preserve"> a systematic analysis of </w:t>
      </w:r>
      <w:r>
        <w:rPr>
          <w:rFonts w:ascii="Times New Roman" w:hAnsi="Times New Roman" w:cs="Times New Roman"/>
          <w:kern w:val="0"/>
          <w:sz w:val="24"/>
          <w:szCs w:val="24"/>
          <w14:ligatures w14:val="none"/>
        </w:rPr>
        <w:t xml:space="preserve">the effect on firm behavior </w:t>
      </w:r>
      <w:r w:rsidR="00A60C54">
        <w:rPr>
          <w:rFonts w:ascii="Times New Roman" w:hAnsi="Times New Roman" w:cs="Times New Roman"/>
          <w:kern w:val="0"/>
          <w:sz w:val="24"/>
          <w:szCs w:val="24"/>
          <w14:ligatures w14:val="none"/>
        </w:rPr>
        <w:t xml:space="preserve">when </w:t>
      </w:r>
      <w:r>
        <w:rPr>
          <w:rFonts w:ascii="Times New Roman" w:hAnsi="Times New Roman" w:cs="Times New Roman"/>
          <w:kern w:val="0"/>
          <w:sz w:val="24"/>
          <w:szCs w:val="24"/>
          <w14:ligatures w14:val="none"/>
        </w:rPr>
        <w:t>a portion</w:t>
      </w:r>
      <w:r w:rsidR="00A60C54">
        <w:rPr>
          <w:rFonts w:ascii="Times New Roman" w:hAnsi="Times New Roman" w:cs="Times New Roman"/>
          <w:kern w:val="0"/>
          <w:sz w:val="24"/>
          <w:szCs w:val="24"/>
          <w14:ligatures w14:val="none"/>
        </w:rPr>
        <w:t xml:space="preserve"> of the econ</w:t>
      </w:r>
      <w:r>
        <w:rPr>
          <w:rFonts w:ascii="Times New Roman" w:hAnsi="Times New Roman" w:cs="Times New Roman"/>
          <w:kern w:val="0"/>
          <w:sz w:val="24"/>
          <w:szCs w:val="24"/>
          <w14:ligatures w14:val="none"/>
        </w:rPr>
        <w:t>omy’s equity investors prefer a deviation f</w:t>
      </w:r>
      <w:r w:rsidR="008B67AF">
        <w:rPr>
          <w:rFonts w:ascii="Times New Roman" w:hAnsi="Times New Roman" w:cs="Times New Roman"/>
          <w:kern w:val="0"/>
          <w:sz w:val="24"/>
          <w:szCs w:val="24"/>
          <w14:ligatures w14:val="none"/>
        </w:rPr>
        <w:t>ro</w:t>
      </w:r>
      <w:r>
        <w:rPr>
          <w:rFonts w:ascii="Times New Roman" w:hAnsi="Times New Roman" w:cs="Times New Roman"/>
          <w:kern w:val="0"/>
          <w:sz w:val="24"/>
          <w:szCs w:val="24"/>
          <w14:ligatures w14:val="none"/>
        </w:rPr>
        <w:t xml:space="preserve">m share value maximization in furtherance of some other end. </w:t>
      </w:r>
      <w:r w:rsidR="00856A34">
        <w:rPr>
          <w:rFonts w:ascii="Times New Roman" w:hAnsi="Times New Roman" w:cs="Times New Roman"/>
          <w:kern w:val="0"/>
          <w:sz w:val="24"/>
          <w:szCs w:val="24"/>
          <w14:ligatures w14:val="none"/>
        </w:rPr>
        <w:t>Th</w:t>
      </w:r>
      <w:r>
        <w:rPr>
          <w:rFonts w:ascii="Times New Roman" w:hAnsi="Times New Roman" w:cs="Times New Roman"/>
          <w:kern w:val="0"/>
          <w:sz w:val="24"/>
          <w:szCs w:val="24"/>
          <w14:ligatures w14:val="none"/>
        </w:rPr>
        <w:t xml:space="preserve">is </w:t>
      </w:r>
      <w:r w:rsidR="00856A34">
        <w:rPr>
          <w:rFonts w:ascii="Times New Roman" w:hAnsi="Times New Roman" w:cs="Times New Roman"/>
          <w:kern w:val="0"/>
          <w:sz w:val="24"/>
          <w:szCs w:val="24"/>
          <w14:ligatures w14:val="none"/>
        </w:rPr>
        <w:t xml:space="preserve">analysis can be leveraged to advance </w:t>
      </w:r>
      <w:r w:rsidR="008B67AF">
        <w:rPr>
          <w:rFonts w:ascii="Times New Roman" w:hAnsi="Times New Roman" w:cs="Times New Roman"/>
          <w:kern w:val="0"/>
          <w:sz w:val="24"/>
          <w:szCs w:val="24"/>
          <w14:ligatures w14:val="none"/>
        </w:rPr>
        <w:t xml:space="preserve">the </w:t>
      </w:r>
      <w:r>
        <w:rPr>
          <w:rFonts w:ascii="Times New Roman" w:hAnsi="Times New Roman" w:cs="Times New Roman"/>
          <w:kern w:val="0"/>
          <w:sz w:val="24"/>
          <w:szCs w:val="24"/>
          <w14:ligatures w14:val="none"/>
        </w:rPr>
        <w:t xml:space="preserve">discussion of a number of </w:t>
      </w:r>
      <w:r w:rsidR="00856A34">
        <w:rPr>
          <w:rFonts w:ascii="Times New Roman" w:hAnsi="Times New Roman" w:cs="Times New Roman"/>
          <w:kern w:val="0"/>
          <w:sz w:val="24"/>
          <w:szCs w:val="24"/>
          <w14:ligatures w14:val="none"/>
        </w:rPr>
        <w:t xml:space="preserve">ongoing debates in corporate law scholarship. </w:t>
      </w:r>
      <w:r>
        <w:rPr>
          <w:rFonts w:ascii="Times New Roman" w:hAnsi="Times New Roman" w:cs="Times New Roman"/>
          <w:kern w:val="0"/>
          <w:sz w:val="24"/>
          <w:szCs w:val="24"/>
          <w14:ligatures w14:val="none"/>
        </w:rPr>
        <w:t>In this Part IV, w</w:t>
      </w:r>
      <w:r w:rsidR="00856A34">
        <w:rPr>
          <w:rFonts w:ascii="Times New Roman" w:hAnsi="Times New Roman" w:cs="Times New Roman"/>
          <w:kern w:val="0"/>
          <w:sz w:val="24"/>
          <w:szCs w:val="24"/>
          <w14:ligatures w14:val="none"/>
        </w:rPr>
        <w:t>e provide an example by applying the a</w:t>
      </w:r>
      <w:r w:rsidR="001F0217">
        <w:rPr>
          <w:rFonts w:ascii="Times New Roman" w:hAnsi="Times New Roman" w:cs="Times New Roman"/>
          <w:kern w:val="0"/>
          <w:sz w:val="24"/>
          <w:szCs w:val="24"/>
          <w14:ligatures w14:val="none"/>
        </w:rPr>
        <w:t xml:space="preserve">nalysis </w:t>
      </w:r>
      <w:r w:rsidR="00856A34">
        <w:rPr>
          <w:rFonts w:ascii="Times New Roman" w:hAnsi="Times New Roman" w:cs="Times New Roman"/>
          <w:kern w:val="0"/>
          <w:sz w:val="24"/>
          <w:szCs w:val="24"/>
          <w14:ligatures w14:val="none"/>
        </w:rPr>
        <w:t>to the important and longstanding debate</w:t>
      </w:r>
      <w:r>
        <w:rPr>
          <w:rFonts w:ascii="Times New Roman" w:hAnsi="Times New Roman" w:cs="Times New Roman"/>
          <w:kern w:val="0"/>
          <w:sz w:val="24"/>
          <w:szCs w:val="24"/>
          <w14:ligatures w14:val="none"/>
        </w:rPr>
        <w:t xml:space="preserve"> </w:t>
      </w:r>
      <w:r w:rsidR="008B67AF">
        <w:rPr>
          <w:rFonts w:ascii="Times New Roman" w:hAnsi="Times New Roman" w:cs="Times New Roman"/>
          <w:kern w:val="0"/>
          <w:sz w:val="24"/>
          <w:szCs w:val="24"/>
          <w14:ligatures w14:val="none"/>
        </w:rPr>
        <w:t xml:space="preserve">concerning </w:t>
      </w:r>
      <w:r>
        <w:rPr>
          <w:rFonts w:ascii="Times New Roman" w:hAnsi="Times New Roman" w:cs="Times New Roman"/>
          <w:kern w:val="0"/>
          <w:sz w:val="24"/>
          <w:szCs w:val="24"/>
          <w14:ligatures w14:val="none"/>
        </w:rPr>
        <w:t>the proper purpose of the corporation</w:t>
      </w:r>
      <w:r w:rsidR="001F0217">
        <w:rPr>
          <w:rFonts w:ascii="Times New Roman" w:hAnsi="Times New Roman" w:cs="Times New Roman"/>
          <w:kern w:val="0"/>
          <w:sz w:val="24"/>
          <w:szCs w:val="24"/>
          <w14:ligatures w14:val="none"/>
        </w:rPr>
        <w:t>.  I</w:t>
      </w:r>
      <w:r>
        <w:rPr>
          <w:rFonts w:ascii="Times New Roman" w:hAnsi="Times New Roman" w:cs="Times New Roman"/>
          <w:kern w:val="0"/>
          <w:sz w:val="24"/>
          <w:szCs w:val="24"/>
          <w14:ligatures w14:val="none"/>
        </w:rPr>
        <w:t xml:space="preserve">s </w:t>
      </w:r>
      <w:r w:rsidR="001F0217">
        <w:rPr>
          <w:rFonts w:ascii="Times New Roman" w:hAnsi="Times New Roman" w:cs="Times New Roman"/>
          <w:kern w:val="0"/>
          <w:sz w:val="24"/>
          <w:szCs w:val="24"/>
          <w14:ligatures w14:val="none"/>
        </w:rPr>
        <w:t xml:space="preserve">it </w:t>
      </w:r>
      <w:r>
        <w:rPr>
          <w:rFonts w:ascii="Times New Roman" w:hAnsi="Times New Roman" w:cs="Times New Roman"/>
          <w:kern w:val="0"/>
          <w:sz w:val="24"/>
          <w:szCs w:val="24"/>
          <w14:ligatures w14:val="none"/>
        </w:rPr>
        <w:t xml:space="preserve">to maximize share value or </w:t>
      </w:r>
      <w:r w:rsidR="001F0217">
        <w:rPr>
          <w:rFonts w:ascii="Times New Roman" w:hAnsi="Times New Roman" w:cs="Times New Roman"/>
          <w:kern w:val="0"/>
          <w:sz w:val="24"/>
          <w:szCs w:val="24"/>
          <w14:ligatures w14:val="none"/>
        </w:rPr>
        <w:t xml:space="preserve">is it, </w:t>
      </w:r>
      <w:r>
        <w:rPr>
          <w:rFonts w:ascii="Times New Roman" w:hAnsi="Times New Roman" w:cs="Times New Roman"/>
          <w:kern w:val="0"/>
          <w:sz w:val="24"/>
          <w:szCs w:val="24"/>
          <w14:ligatures w14:val="none"/>
        </w:rPr>
        <w:t xml:space="preserve">to </w:t>
      </w:r>
      <w:r w:rsidR="00853860">
        <w:rPr>
          <w:rFonts w:ascii="Times New Roman" w:hAnsi="Times New Roman" w:cs="Times New Roman"/>
          <w:kern w:val="0"/>
          <w:sz w:val="24"/>
          <w:szCs w:val="24"/>
          <w14:ligatures w14:val="none"/>
        </w:rPr>
        <w:t xml:space="preserve">at least some extent, </w:t>
      </w:r>
      <w:r w:rsidR="001F0217">
        <w:rPr>
          <w:rFonts w:ascii="Times New Roman" w:hAnsi="Times New Roman" w:cs="Times New Roman"/>
          <w:kern w:val="0"/>
          <w:sz w:val="24"/>
          <w:szCs w:val="24"/>
          <w14:ligatures w14:val="none"/>
        </w:rPr>
        <w:t xml:space="preserve">to serve </w:t>
      </w:r>
      <w:r w:rsidR="00853860">
        <w:rPr>
          <w:rFonts w:ascii="Times New Roman" w:hAnsi="Times New Roman" w:cs="Times New Roman"/>
          <w:kern w:val="0"/>
          <w:sz w:val="24"/>
          <w:szCs w:val="24"/>
          <w14:ligatures w14:val="none"/>
        </w:rPr>
        <w:t xml:space="preserve">one or more </w:t>
      </w:r>
      <w:r>
        <w:rPr>
          <w:rFonts w:ascii="Times New Roman" w:hAnsi="Times New Roman" w:cs="Times New Roman"/>
          <w:kern w:val="0"/>
          <w:sz w:val="24"/>
          <w:szCs w:val="24"/>
          <w14:ligatures w14:val="none"/>
        </w:rPr>
        <w:t>other ends</w:t>
      </w:r>
      <w:r w:rsidR="00853860">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 xml:space="preserve"> </w:t>
      </w:r>
      <w:r w:rsidR="00853860">
        <w:rPr>
          <w:rFonts w:ascii="Times New Roman" w:hAnsi="Times New Roman" w:cs="Times New Roman"/>
          <w:kern w:val="0"/>
          <w:sz w:val="24"/>
          <w:szCs w:val="24"/>
          <w14:ligatures w14:val="none"/>
        </w:rPr>
        <w:t xml:space="preserve"> </w:t>
      </w:r>
      <w:r w:rsidR="000B3A46">
        <w:rPr>
          <w:rFonts w:ascii="Times New Roman" w:hAnsi="Times New Roman" w:cs="Times New Roman"/>
          <w:kern w:val="0"/>
          <w:sz w:val="24"/>
          <w:szCs w:val="24"/>
          <w14:ligatures w14:val="none"/>
        </w:rPr>
        <w:t>T</w:t>
      </w:r>
      <w:r w:rsidR="00FF7787">
        <w:rPr>
          <w:rFonts w:ascii="Times New Roman" w:hAnsi="Times New Roman" w:cs="Times New Roman"/>
          <w:kern w:val="0"/>
          <w:sz w:val="24"/>
          <w:szCs w:val="24"/>
          <w14:ligatures w14:val="none"/>
        </w:rPr>
        <w:t>he major reform movements</w:t>
      </w:r>
      <w:r w:rsidR="000B3A46">
        <w:rPr>
          <w:rFonts w:ascii="Times New Roman" w:hAnsi="Times New Roman" w:cs="Times New Roman"/>
          <w:kern w:val="0"/>
          <w:sz w:val="24"/>
          <w:szCs w:val="24"/>
          <w14:ligatures w14:val="none"/>
        </w:rPr>
        <w:t xml:space="preserve"> of recent years</w:t>
      </w:r>
      <w:r w:rsidR="00FF7787">
        <w:rPr>
          <w:rFonts w:ascii="Times New Roman" w:hAnsi="Times New Roman" w:cs="Times New Roman"/>
          <w:kern w:val="0"/>
          <w:sz w:val="24"/>
          <w:szCs w:val="24"/>
          <w14:ligatures w14:val="none"/>
        </w:rPr>
        <w:t xml:space="preserve"> </w:t>
      </w:r>
      <w:r w:rsidR="00853860">
        <w:rPr>
          <w:rFonts w:ascii="Times New Roman" w:hAnsi="Times New Roman" w:cs="Times New Roman"/>
          <w:kern w:val="0"/>
          <w:sz w:val="24"/>
          <w:szCs w:val="24"/>
          <w14:ligatures w14:val="none"/>
        </w:rPr>
        <w:t>–</w:t>
      </w:r>
      <w:r w:rsidR="00FF7787">
        <w:rPr>
          <w:rFonts w:ascii="Times New Roman" w:hAnsi="Times New Roman" w:cs="Times New Roman"/>
          <w:kern w:val="0"/>
          <w:sz w:val="24"/>
          <w:szCs w:val="24"/>
          <w14:ligatures w14:val="none"/>
        </w:rPr>
        <w:t xml:space="preserve"> Corporate </w:t>
      </w:r>
      <w:r w:rsidR="001F0217">
        <w:rPr>
          <w:rFonts w:ascii="Times New Roman" w:hAnsi="Times New Roman" w:cs="Times New Roman"/>
          <w:kern w:val="0"/>
          <w:sz w:val="24"/>
          <w:szCs w:val="24"/>
          <w14:ligatures w14:val="none"/>
        </w:rPr>
        <w:t xml:space="preserve">Social </w:t>
      </w:r>
      <w:r w:rsidR="00DA15F6">
        <w:rPr>
          <w:rFonts w:ascii="Times New Roman" w:hAnsi="Times New Roman" w:cs="Times New Roman"/>
          <w:kern w:val="0"/>
          <w:sz w:val="24"/>
          <w:szCs w:val="24"/>
          <w14:ligatures w14:val="none"/>
        </w:rPr>
        <w:t>Responsibility</w:t>
      </w:r>
      <w:r w:rsidR="001F0217">
        <w:rPr>
          <w:rFonts w:ascii="Times New Roman" w:hAnsi="Times New Roman" w:cs="Times New Roman"/>
          <w:kern w:val="0"/>
          <w:sz w:val="24"/>
          <w:szCs w:val="24"/>
          <w14:ligatures w14:val="none"/>
        </w:rPr>
        <w:t xml:space="preserve"> (</w:t>
      </w:r>
      <w:r w:rsidR="00FF7787">
        <w:rPr>
          <w:rFonts w:ascii="Times New Roman" w:hAnsi="Times New Roman" w:cs="Times New Roman"/>
          <w:kern w:val="0"/>
          <w:sz w:val="24"/>
          <w:szCs w:val="24"/>
          <w14:ligatures w14:val="none"/>
        </w:rPr>
        <w:t>CSR</w:t>
      </w:r>
      <w:r w:rsidR="001F0217">
        <w:rPr>
          <w:rFonts w:ascii="Times New Roman" w:hAnsi="Times New Roman" w:cs="Times New Roman"/>
          <w:kern w:val="0"/>
          <w:sz w:val="24"/>
          <w:szCs w:val="24"/>
          <w14:ligatures w14:val="none"/>
        </w:rPr>
        <w:t>), Environment, Soci</w:t>
      </w:r>
      <w:r w:rsidR="00DA15F6">
        <w:rPr>
          <w:rFonts w:ascii="Times New Roman" w:hAnsi="Times New Roman" w:cs="Times New Roman"/>
          <w:kern w:val="0"/>
          <w:sz w:val="24"/>
          <w:szCs w:val="24"/>
          <w14:ligatures w14:val="none"/>
        </w:rPr>
        <w:t>al</w:t>
      </w:r>
      <w:r w:rsidR="008E152C">
        <w:rPr>
          <w:rFonts w:ascii="Times New Roman" w:hAnsi="Times New Roman" w:cs="Times New Roman"/>
          <w:kern w:val="0"/>
          <w:sz w:val="24"/>
          <w:szCs w:val="24"/>
          <w14:ligatures w14:val="none"/>
        </w:rPr>
        <w:t>,</w:t>
      </w:r>
      <w:r w:rsidR="001F0217">
        <w:rPr>
          <w:rFonts w:ascii="Times New Roman" w:hAnsi="Times New Roman" w:cs="Times New Roman"/>
          <w:kern w:val="0"/>
          <w:sz w:val="24"/>
          <w:szCs w:val="24"/>
          <w14:ligatures w14:val="none"/>
        </w:rPr>
        <w:t xml:space="preserve"> and Governance (ESG)</w:t>
      </w:r>
      <w:r w:rsidR="00D57A0E">
        <w:rPr>
          <w:rFonts w:ascii="Times New Roman" w:hAnsi="Times New Roman" w:cs="Times New Roman"/>
          <w:kern w:val="0"/>
          <w:sz w:val="24"/>
          <w:szCs w:val="24"/>
          <w14:ligatures w14:val="none"/>
        </w:rPr>
        <w:t xml:space="preserve">, and </w:t>
      </w:r>
      <w:r w:rsidR="0017000C">
        <w:rPr>
          <w:rFonts w:ascii="Times New Roman" w:hAnsi="Times New Roman" w:cs="Times New Roman"/>
          <w:kern w:val="0"/>
          <w:sz w:val="24"/>
          <w:szCs w:val="24"/>
          <w14:ligatures w14:val="none"/>
        </w:rPr>
        <w:t>s</w:t>
      </w:r>
      <w:r w:rsidR="00D57A0E">
        <w:rPr>
          <w:rFonts w:ascii="Times New Roman" w:hAnsi="Times New Roman" w:cs="Times New Roman"/>
          <w:kern w:val="0"/>
          <w:sz w:val="24"/>
          <w:szCs w:val="24"/>
          <w14:ligatures w14:val="none"/>
        </w:rPr>
        <w:t>takeholderism</w:t>
      </w:r>
      <w:r w:rsidR="001F0217">
        <w:rPr>
          <w:rFonts w:ascii="Times New Roman" w:hAnsi="Times New Roman" w:cs="Times New Roman"/>
          <w:kern w:val="0"/>
          <w:sz w:val="24"/>
          <w:szCs w:val="24"/>
          <w14:ligatures w14:val="none"/>
        </w:rPr>
        <w:t xml:space="preserve"> </w:t>
      </w:r>
      <w:r w:rsidR="00853860">
        <w:rPr>
          <w:rFonts w:ascii="Times New Roman" w:hAnsi="Times New Roman" w:cs="Times New Roman"/>
          <w:kern w:val="0"/>
          <w:sz w:val="24"/>
          <w:szCs w:val="24"/>
          <w14:ligatures w14:val="none"/>
        </w:rPr>
        <w:t xml:space="preserve">– </w:t>
      </w:r>
      <w:r w:rsidR="00FF7787">
        <w:rPr>
          <w:rFonts w:ascii="Times New Roman" w:hAnsi="Times New Roman" w:cs="Times New Roman"/>
          <w:kern w:val="0"/>
          <w:sz w:val="24"/>
          <w:szCs w:val="24"/>
          <w14:ligatures w14:val="none"/>
        </w:rPr>
        <w:t>share in common support for the latter position</w:t>
      </w:r>
      <w:r w:rsidR="007F2E8F">
        <w:rPr>
          <w:rFonts w:ascii="Times New Roman" w:hAnsi="Times New Roman" w:cs="Times New Roman"/>
          <w:kern w:val="0"/>
          <w:sz w:val="24"/>
          <w:szCs w:val="24"/>
          <w14:ligatures w14:val="none"/>
        </w:rPr>
        <w:t>, w</w:t>
      </w:r>
      <w:r w:rsidR="000B3A46">
        <w:rPr>
          <w:rFonts w:ascii="Times New Roman" w:hAnsi="Times New Roman" w:cs="Times New Roman"/>
          <w:kern w:val="0"/>
          <w:sz w:val="24"/>
          <w:szCs w:val="24"/>
          <w14:ligatures w14:val="none"/>
        </w:rPr>
        <w:t>hatever</w:t>
      </w:r>
      <w:r w:rsidR="00065440">
        <w:rPr>
          <w:rFonts w:ascii="Times New Roman" w:hAnsi="Times New Roman" w:cs="Times New Roman"/>
          <w:kern w:val="0"/>
          <w:sz w:val="24"/>
          <w:szCs w:val="24"/>
          <w14:ligatures w14:val="none"/>
        </w:rPr>
        <w:t xml:space="preserve">, if any, </w:t>
      </w:r>
      <w:r w:rsidR="000B3A46">
        <w:rPr>
          <w:rFonts w:ascii="Times New Roman" w:hAnsi="Times New Roman" w:cs="Times New Roman"/>
          <w:kern w:val="0"/>
          <w:sz w:val="24"/>
          <w:szCs w:val="24"/>
          <w14:ligatures w14:val="none"/>
        </w:rPr>
        <w:t>are the</w:t>
      </w:r>
      <w:r w:rsidR="007F2E8F">
        <w:rPr>
          <w:rFonts w:ascii="Times New Roman" w:hAnsi="Times New Roman" w:cs="Times New Roman"/>
          <w:kern w:val="0"/>
          <w:sz w:val="24"/>
          <w:szCs w:val="24"/>
          <w14:ligatures w14:val="none"/>
        </w:rPr>
        <w:t>ir di</w:t>
      </w:r>
      <w:r w:rsidR="000B3A46">
        <w:rPr>
          <w:rFonts w:ascii="Times New Roman" w:hAnsi="Times New Roman" w:cs="Times New Roman"/>
          <w:kern w:val="0"/>
          <w:sz w:val="24"/>
          <w:szCs w:val="24"/>
          <w14:ligatures w14:val="none"/>
        </w:rPr>
        <w:t>fferences</w:t>
      </w:r>
      <w:r w:rsidR="007F2E8F">
        <w:rPr>
          <w:rFonts w:ascii="Times New Roman" w:hAnsi="Times New Roman" w:cs="Times New Roman"/>
          <w:kern w:val="0"/>
          <w:sz w:val="24"/>
          <w:szCs w:val="24"/>
          <w14:ligatures w14:val="none"/>
        </w:rPr>
        <w:t xml:space="preserve">.  We </w:t>
      </w:r>
      <w:r w:rsidR="00C5384D">
        <w:rPr>
          <w:rFonts w:ascii="Times New Roman" w:hAnsi="Times New Roman" w:cs="Times New Roman"/>
          <w:kern w:val="0"/>
          <w:sz w:val="24"/>
          <w:szCs w:val="24"/>
          <w14:ligatures w14:val="none"/>
        </w:rPr>
        <w:t xml:space="preserve">will </w:t>
      </w:r>
      <w:r w:rsidR="00496F95">
        <w:rPr>
          <w:rFonts w:ascii="Times New Roman" w:hAnsi="Times New Roman" w:cs="Times New Roman"/>
          <w:kern w:val="0"/>
          <w:sz w:val="24"/>
          <w:szCs w:val="24"/>
          <w14:ligatures w14:val="none"/>
        </w:rPr>
        <w:t xml:space="preserve">generically </w:t>
      </w:r>
      <w:r w:rsidR="00C5384D">
        <w:rPr>
          <w:rFonts w:ascii="Times New Roman" w:hAnsi="Times New Roman" w:cs="Times New Roman"/>
          <w:kern w:val="0"/>
          <w:sz w:val="24"/>
          <w:szCs w:val="24"/>
          <w14:ligatures w14:val="none"/>
        </w:rPr>
        <w:t xml:space="preserve">refer to </w:t>
      </w:r>
      <w:r w:rsidR="007F2E8F">
        <w:rPr>
          <w:rFonts w:ascii="Times New Roman" w:hAnsi="Times New Roman" w:cs="Times New Roman"/>
          <w:kern w:val="0"/>
          <w:sz w:val="24"/>
          <w:szCs w:val="24"/>
          <w14:ligatures w14:val="none"/>
        </w:rPr>
        <w:t xml:space="preserve">all three </w:t>
      </w:r>
      <w:r w:rsidR="00496F95">
        <w:rPr>
          <w:rFonts w:ascii="Times New Roman" w:hAnsi="Times New Roman" w:cs="Times New Roman"/>
          <w:kern w:val="0"/>
          <w:sz w:val="24"/>
          <w:szCs w:val="24"/>
          <w14:ligatures w14:val="none"/>
        </w:rPr>
        <w:t xml:space="preserve">simply as </w:t>
      </w:r>
      <w:r w:rsidR="00C5384D">
        <w:rPr>
          <w:rFonts w:ascii="Times New Roman" w:hAnsi="Times New Roman" w:cs="Times New Roman"/>
          <w:kern w:val="0"/>
          <w:sz w:val="24"/>
          <w:szCs w:val="24"/>
          <w14:ligatures w14:val="none"/>
        </w:rPr>
        <w:t>the “alternative ends” approach</w:t>
      </w:r>
      <w:r w:rsidR="007F2E8F">
        <w:rPr>
          <w:rFonts w:ascii="Times New Roman" w:hAnsi="Times New Roman" w:cs="Times New Roman"/>
          <w:kern w:val="0"/>
          <w:sz w:val="24"/>
          <w:szCs w:val="24"/>
          <w14:ligatures w14:val="none"/>
        </w:rPr>
        <w:t xml:space="preserve"> to corporate purpose</w:t>
      </w:r>
      <w:r w:rsidR="00496F95">
        <w:rPr>
          <w:rFonts w:ascii="Times New Roman" w:hAnsi="Times New Roman" w:cs="Times New Roman"/>
          <w:kern w:val="0"/>
          <w:sz w:val="24"/>
          <w:szCs w:val="24"/>
          <w14:ligatures w14:val="none"/>
        </w:rPr>
        <w:t>.</w:t>
      </w:r>
    </w:p>
    <w:p w14:paraId="530BCB6D" w14:textId="74305B05" w:rsidR="00856A34" w:rsidRDefault="00C5384D" w:rsidP="00DA15F6">
      <w:pPr>
        <w:spacing w:after="0" w:line="48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t xml:space="preserve">As developed below, </w:t>
      </w:r>
      <w:r w:rsidR="004C2D76">
        <w:rPr>
          <w:rFonts w:ascii="Times New Roman" w:hAnsi="Times New Roman" w:cs="Times New Roman"/>
          <w:kern w:val="0"/>
          <w:sz w:val="24"/>
          <w:szCs w:val="24"/>
          <w14:ligatures w14:val="none"/>
        </w:rPr>
        <w:t xml:space="preserve">the analysis in this paper </w:t>
      </w:r>
      <w:r>
        <w:rPr>
          <w:rFonts w:ascii="Times New Roman" w:hAnsi="Times New Roman" w:cs="Times New Roman"/>
          <w:kern w:val="0"/>
          <w:sz w:val="24"/>
          <w:szCs w:val="24"/>
          <w14:ligatures w14:val="none"/>
        </w:rPr>
        <w:t>helps illuminate th</w:t>
      </w:r>
      <w:r w:rsidR="004C2D76">
        <w:rPr>
          <w:rFonts w:ascii="Times New Roman" w:hAnsi="Times New Roman" w:cs="Times New Roman"/>
          <w:kern w:val="0"/>
          <w:sz w:val="24"/>
          <w:szCs w:val="24"/>
          <w14:ligatures w14:val="none"/>
        </w:rPr>
        <w:t>e</w:t>
      </w:r>
      <w:r>
        <w:rPr>
          <w:rFonts w:ascii="Times New Roman" w:hAnsi="Times New Roman" w:cs="Times New Roman"/>
          <w:kern w:val="0"/>
          <w:sz w:val="24"/>
          <w:szCs w:val="24"/>
          <w14:ligatures w14:val="none"/>
        </w:rPr>
        <w:t xml:space="preserve"> debate </w:t>
      </w:r>
      <w:r w:rsidR="00496F95">
        <w:rPr>
          <w:rFonts w:ascii="Times New Roman" w:hAnsi="Times New Roman" w:cs="Times New Roman"/>
          <w:kern w:val="0"/>
          <w:sz w:val="24"/>
          <w:szCs w:val="24"/>
          <w14:ligatures w14:val="none"/>
        </w:rPr>
        <w:t xml:space="preserve">over corporate purpose </w:t>
      </w:r>
      <w:r>
        <w:rPr>
          <w:rFonts w:ascii="Times New Roman" w:hAnsi="Times New Roman" w:cs="Times New Roman"/>
          <w:kern w:val="0"/>
          <w:sz w:val="24"/>
          <w:szCs w:val="24"/>
          <w14:ligatures w14:val="none"/>
        </w:rPr>
        <w:t xml:space="preserve">in at least three ways.  First, the literature advancing the various strains of the alternative ends approach is surprisingly thin on how to get from here to there. Our </w:t>
      </w:r>
      <w:r w:rsidR="004C2D76">
        <w:rPr>
          <w:rFonts w:ascii="Times New Roman" w:hAnsi="Times New Roman" w:cs="Times New Roman"/>
          <w:kern w:val="0"/>
          <w:sz w:val="24"/>
          <w:szCs w:val="24"/>
          <w14:ligatures w14:val="none"/>
        </w:rPr>
        <w:t xml:space="preserve">analysis suggests that </w:t>
      </w:r>
      <w:r w:rsidR="007F2E8F">
        <w:rPr>
          <w:rFonts w:ascii="Times New Roman" w:hAnsi="Times New Roman" w:cs="Times New Roman"/>
          <w:kern w:val="0"/>
          <w:sz w:val="24"/>
          <w:szCs w:val="24"/>
          <w14:ligatures w14:val="none"/>
        </w:rPr>
        <w:t xml:space="preserve">it may well be </w:t>
      </w:r>
      <w:r w:rsidR="00F72190">
        <w:rPr>
          <w:rFonts w:ascii="Times New Roman" w:hAnsi="Times New Roman" w:cs="Times New Roman"/>
          <w:kern w:val="0"/>
          <w:sz w:val="24"/>
          <w:szCs w:val="24"/>
          <w14:ligatures w14:val="none"/>
        </w:rPr>
        <w:t xml:space="preserve">that a </w:t>
      </w:r>
      <w:r w:rsidR="004C2D76">
        <w:rPr>
          <w:rFonts w:ascii="Times New Roman" w:hAnsi="Times New Roman" w:cs="Times New Roman"/>
          <w:kern w:val="0"/>
          <w:sz w:val="24"/>
          <w:szCs w:val="24"/>
          <w14:ligatures w14:val="none"/>
        </w:rPr>
        <w:t>significant portion of the economy’s equity investors</w:t>
      </w:r>
      <w:r w:rsidR="00F72190">
        <w:rPr>
          <w:rFonts w:ascii="Times New Roman" w:hAnsi="Times New Roman" w:cs="Times New Roman"/>
          <w:kern w:val="0"/>
          <w:sz w:val="24"/>
          <w:szCs w:val="24"/>
          <w14:ligatures w14:val="none"/>
        </w:rPr>
        <w:t xml:space="preserve"> would, if fully informed, prefer </w:t>
      </w:r>
      <w:r w:rsidR="007F2E8F">
        <w:rPr>
          <w:rFonts w:ascii="Times New Roman" w:hAnsi="Times New Roman" w:cs="Times New Roman"/>
          <w:kern w:val="0"/>
          <w:sz w:val="24"/>
          <w:szCs w:val="24"/>
          <w14:ligatures w14:val="none"/>
        </w:rPr>
        <w:t>c</w:t>
      </w:r>
      <w:r w:rsidR="007F7A68">
        <w:rPr>
          <w:rFonts w:ascii="Times New Roman" w:hAnsi="Times New Roman" w:cs="Times New Roman"/>
          <w:kern w:val="0"/>
          <w:sz w:val="24"/>
          <w:szCs w:val="24"/>
          <w14:ligatures w14:val="none"/>
        </w:rPr>
        <w:t xml:space="preserve">ertain </w:t>
      </w:r>
      <w:r w:rsidR="00F72190">
        <w:rPr>
          <w:rFonts w:ascii="Times New Roman" w:hAnsi="Times New Roman" w:cs="Times New Roman"/>
          <w:kern w:val="0"/>
          <w:sz w:val="24"/>
          <w:szCs w:val="24"/>
          <w14:ligatures w14:val="none"/>
        </w:rPr>
        <w:t>deviations share value maximization</w:t>
      </w:r>
      <w:r w:rsidR="007F2E8F">
        <w:rPr>
          <w:rFonts w:ascii="Times New Roman" w:hAnsi="Times New Roman" w:cs="Times New Roman"/>
          <w:kern w:val="0"/>
          <w:sz w:val="24"/>
          <w:szCs w:val="24"/>
          <w14:ligatures w14:val="none"/>
        </w:rPr>
        <w:t xml:space="preserve"> in furtherance of other ends</w:t>
      </w:r>
      <w:r w:rsidR="00F72190">
        <w:rPr>
          <w:rFonts w:ascii="Times New Roman" w:hAnsi="Times New Roman" w:cs="Times New Roman"/>
          <w:kern w:val="0"/>
          <w:sz w:val="24"/>
          <w:szCs w:val="24"/>
          <w14:ligatures w14:val="none"/>
        </w:rPr>
        <w:t xml:space="preserve">, </w:t>
      </w:r>
      <w:r w:rsidR="007F2E8F">
        <w:rPr>
          <w:rFonts w:ascii="Times New Roman" w:hAnsi="Times New Roman" w:cs="Times New Roman"/>
          <w:kern w:val="0"/>
          <w:sz w:val="24"/>
          <w:szCs w:val="24"/>
          <w14:ligatures w14:val="none"/>
        </w:rPr>
        <w:t xml:space="preserve">but that </w:t>
      </w:r>
      <w:r w:rsidR="008B6391">
        <w:rPr>
          <w:rFonts w:ascii="Times New Roman" w:hAnsi="Times New Roman" w:cs="Times New Roman"/>
          <w:kern w:val="0"/>
          <w:sz w:val="24"/>
          <w:szCs w:val="24"/>
          <w14:ligatures w14:val="none"/>
        </w:rPr>
        <w:t xml:space="preserve">it is highly unlikely that </w:t>
      </w:r>
      <w:r w:rsidR="007F2E8F">
        <w:rPr>
          <w:rFonts w:ascii="Times New Roman" w:hAnsi="Times New Roman" w:cs="Times New Roman"/>
          <w:kern w:val="0"/>
          <w:sz w:val="24"/>
          <w:szCs w:val="24"/>
          <w14:ligatures w14:val="none"/>
        </w:rPr>
        <w:t xml:space="preserve">if so, </w:t>
      </w:r>
      <w:r w:rsidR="00F72190">
        <w:rPr>
          <w:rFonts w:ascii="Times New Roman" w:hAnsi="Times New Roman" w:cs="Times New Roman"/>
          <w:kern w:val="0"/>
          <w:sz w:val="24"/>
          <w:szCs w:val="24"/>
          <w14:ligatures w14:val="none"/>
        </w:rPr>
        <w:t xml:space="preserve">this fact </w:t>
      </w:r>
      <w:r w:rsidR="00856A34">
        <w:rPr>
          <w:rFonts w:ascii="Times New Roman" w:hAnsi="Times New Roman" w:cs="Times New Roman"/>
          <w:kern w:val="0"/>
          <w:sz w:val="24"/>
          <w:szCs w:val="24"/>
          <w14:ligatures w14:val="none"/>
        </w:rPr>
        <w:t>w</w:t>
      </w:r>
      <w:r w:rsidR="007F2E8F">
        <w:rPr>
          <w:rFonts w:ascii="Times New Roman" w:hAnsi="Times New Roman" w:cs="Times New Roman"/>
          <w:kern w:val="0"/>
          <w:sz w:val="24"/>
          <w:szCs w:val="24"/>
          <w14:ligatures w14:val="none"/>
        </w:rPr>
        <w:t>ould</w:t>
      </w:r>
      <w:r w:rsidR="00856A34">
        <w:rPr>
          <w:rFonts w:ascii="Times New Roman" w:hAnsi="Times New Roman" w:cs="Times New Roman"/>
          <w:kern w:val="0"/>
          <w:sz w:val="24"/>
          <w:szCs w:val="24"/>
          <w14:ligatures w14:val="none"/>
        </w:rPr>
        <w:t xml:space="preserve"> organically </w:t>
      </w:r>
      <w:r w:rsidR="008B6391">
        <w:rPr>
          <w:rFonts w:ascii="Times New Roman" w:hAnsi="Times New Roman" w:cs="Times New Roman"/>
          <w:kern w:val="0"/>
          <w:sz w:val="24"/>
          <w:szCs w:val="24"/>
          <w14:ligatures w14:val="none"/>
        </w:rPr>
        <w:t xml:space="preserve">lead to major </w:t>
      </w:r>
      <w:r w:rsidR="00A213CB">
        <w:rPr>
          <w:rFonts w:ascii="Times New Roman" w:hAnsi="Times New Roman" w:cs="Times New Roman"/>
          <w:kern w:val="0"/>
          <w:sz w:val="24"/>
          <w:szCs w:val="24"/>
          <w14:ligatures w14:val="none"/>
        </w:rPr>
        <w:t xml:space="preserve">changes in corporate behavior.  </w:t>
      </w:r>
      <w:r w:rsidR="00BE03F4">
        <w:rPr>
          <w:rFonts w:ascii="Times New Roman" w:hAnsi="Times New Roman" w:cs="Times New Roman"/>
          <w:kern w:val="0"/>
          <w:sz w:val="24"/>
          <w:szCs w:val="24"/>
          <w14:ligatures w14:val="none"/>
        </w:rPr>
        <w:t xml:space="preserve">Fundamental changes </w:t>
      </w:r>
      <w:r w:rsidR="007F2E8F">
        <w:rPr>
          <w:rFonts w:ascii="Times New Roman" w:hAnsi="Times New Roman" w:cs="Times New Roman"/>
          <w:kern w:val="0"/>
          <w:sz w:val="24"/>
          <w:szCs w:val="24"/>
          <w14:ligatures w14:val="none"/>
        </w:rPr>
        <w:t xml:space="preserve">in </w:t>
      </w:r>
      <w:r w:rsidR="00BE03F4">
        <w:rPr>
          <w:rFonts w:ascii="Times New Roman" w:hAnsi="Times New Roman" w:cs="Times New Roman"/>
          <w:kern w:val="0"/>
          <w:sz w:val="24"/>
          <w:szCs w:val="24"/>
          <w14:ligatures w14:val="none"/>
        </w:rPr>
        <w:t xml:space="preserve">our current </w:t>
      </w:r>
      <w:r w:rsidR="00496F95">
        <w:rPr>
          <w:rFonts w:ascii="Times New Roman" w:hAnsi="Times New Roman" w:cs="Times New Roman"/>
          <w:kern w:val="0"/>
          <w:sz w:val="24"/>
          <w:szCs w:val="24"/>
          <w14:ligatures w14:val="none"/>
        </w:rPr>
        <w:t xml:space="preserve">corporate governance arrangements would be </w:t>
      </w:r>
      <w:r w:rsidR="007F2E8F">
        <w:rPr>
          <w:rFonts w:ascii="Times New Roman" w:hAnsi="Times New Roman" w:cs="Times New Roman"/>
          <w:kern w:val="0"/>
          <w:sz w:val="24"/>
          <w:szCs w:val="24"/>
          <w14:ligatures w14:val="none"/>
        </w:rPr>
        <w:t xml:space="preserve">a precondition. </w:t>
      </w:r>
      <w:r w:rsidR="00496F95">
        <w:rPr>
          <w:rFonts w:ascii="Times New Roman" w:hAnsi="Times New Roman" w:cs="Times New Roman"/>
          <w:kern w:val="0"/>
          <w:sz w:val="24"/>
          <w:szCs w:val="24"/>
          <w14:ligatures w14:val="none"/>
        </w:rPr>
        <w:t xml:space="preserve"> Second, because </w:t>
      </w:r>
      <w:r w:rsidR="00F43E68">
        <w:rPr>
          <w:rFonts w:ascii="Times New Roman" w:hAnsi="Times New Roman" w:cs="Times New Roman"/>
          <w:kern w:val="0"/>
          <w:sz w:val="24"/>
          <w:szCs w:val="24"/>
          <w14:ligatures w14:val="none"/>
        </w:rPr>
        <w:t xml:space="preserve">shareholders </w:t>
      </w:r>
      <w:r w:rsidR="00496F95">
        <w:rPr>
          <w:rFonts w:ascii="Times New Roman" w:hAnsi="Times New Roman" w:cs="Times New Roman"/>
          <w:kern w:val="0"/>
          <w:sz w:val="24"/>
          <w:szCs w:val="24"/>
          <w14:ligatures w14:val="none"/>
        </w:rPr>
        <w:t xml:space="preserve">are not </w:t>
      </w:r>
      <w:r w:rsidR="00F43E68">
        <w:rPr>
          <w:rFonts w:ascii="Times New Roman" w:hAnsi="Times New Roman" w:cs="Times New Roman"/>
          <w:kern w:val="0"/>
          <w:sz w:val="24"/>
          <w:szCs w:val="24"/>
          <w14:ligatures w14:val="none"/>
        </w:rPr>
        <w:t>well</w:t>
      </w:r>
      <w:r w:rsidR="00496F95">
        <w:rPr>
          <w:rFonts w:ascii="Times New Roman" w:hAnsi="Times New Roman" w:cs="Times New Roman"/>
          <w:kern w:val="0"/>
          <w:sz w:val="24"/>
          <w:szCs w:val="24"/>
          <w14:ligatures w14:val="none"/>
        </w:rPr>
        <w:t xml:space="preserve"> informed</w:t>
      </w:r>
      <w:r w:rsidR="00F43E68">
        <w:rPr>
          <w:rFonts w:ascii="Times New Roman" w:hAnsi="Times New Roman" w:cs="Times New Roman"/>
          <w:kern w:val="0"/>
          <w:sz w:val="24"/>
          <w:szCs w:val="24"/>
          <w14:ligatures w14:val="none"/>
        </w:rPr>
        <w:t xml:space="preserve"> </w:t>
      </w:r>
      <w:r w:rsidR="00BE03F4">
        <w:rPr>
          <w:rFonts w:ascii="Times New Roman" w:hAnsi="Times New Roman" w:cs="Times New Roman"/>
          <w:kern w:val="0"/>
          <w:sz w:val="24"/>
          <w:szCs w:val="24"/>
          <w14:ligatures w14:val="none"/>
        </w:rPr>
        <w:t xml:space="preserve">concerning </w:t>
      </w:r>
      <w:r w:rsidR="00F43E68">
        <w:rPr>
          <w:rFonts w:ascii="Times New Roman" w:hAnsi="Times New Roman" w:cs="Times New Roman"/>
          <w:kern w:val="0"/>
          <w:sz w:val="24"/>
          <w:szCs w:val="24"/>
          <w14:ligatures w14:val="none"/>
        </w:rPr>
        <w:t>the extent to which changes in corporate behavior would further ends that they support or the costs of these changes in terms of share value</w:t>
      </w:r>
      <w:r w:rsidR="00496F95">
        <w:rPr>
          <w:rFonts w:ascii="Times New Roman" w:hAnsi="Times New Roman" w:cs="Times New Roman"/>
          <w:kern w:val="0"/>
          <w:sz w:val="24"/>
          <w:szCs w:val="24"/>
          <w14:ligatures w14:val="none"/>
        </w:rPr>
        <w:t xml:space="preserve">, </w:t>
      </w:r>
      <w:r w:rsidR="00F43E68">
        <w:rPr>
          <w:rFonts w:ascii="Times New Roman" w:hAnsi="Times New Roman" w:cs="Times New Roman"/>
          <w:kern w:val="0"/>
          <w:sz w:val="24"/>
          <w:szCs w:val="24"/>
          <w14:ligatures w14:val="none"/>
        </w:rPr>
        <w:t xml:space="preserve">directors and managers, even if they wished to do what </w:t>
      </w:r>
      <w:r w:rsidR="00D168F3">
        <w:rPr>
          <w:rFonts w:ascii="Times New Roman" w:hAnsi="Times New Roman" w:cs="Times New Roman"/>
          <w:kern w:val="0"/>
          <w:sz w:val="24"/>
          <w:szCs w:val="24"/>
          <w14:ligatures w14:val="none"/>
        </w:rPr>
        <w:t xml:space="preserve">shareholders </w:t>
      </w:r>
      <w:r w:rsidR="00F43E68">
        <w:rPr>
          <w:rFonts w:ascii="Times New Roman" w:hAnsi="Times New Roman" w:cs="Times New Roman"/>
          <w:kern w:val="0"/>
          <w:sz w:val="24"/>
          <w:szCs w:val="24"/>
          <w14:ligatures w14:val="none"/>
        </w:rPr>
        <w:t>would prefer</w:t>
      </w:r>
      <w:r w:rsidR="00D168F3">
        <w:rPr>
          <w:rFonts w:ascii="Times New Roman" w:hAnsi="Times New Roman" w:cs="Times New Roman"/>
          <w:kern w:val="0"/>
          <w:sz w:val="24"/>
          <w:szCs w:val="24"/>
          <w14:ligatures w14:val="none"/>
        </w:rPr>
        <w:t xml:space="preserve"> if they were so informed</w:t>
      </w:r>
      <w:r w:rsidR="00F43E68">
        <w:rPr>
          <w:rFonts w:ascii="Times New Roman" w:hAnsi="Times New Roman" w:cs="Times New Roman"/>
          <w:kern w:val="0"/>
          <w:sz w:val="24"/>
          <w:szCs w:val="24"/>
          <w14:ligatures w14:val="none"/>
        </w:rPr>
        <w:t>, lack any reliable guides.</w:t>
      </w:r>
      <w:r w:rsidR="009A21E0">
        <w:rPr>
          <w:rFonts w:ascii="Times New Roman" w:hAnsi="Times New Roman" w:cs="Times New Roman"/>
          <w:kern w:val="0"/>
          <w:sz w:val="24"/>
          <w:szCs w:val="24"/>
          <w14:ligatures w14:val="none"/>
        </w:rPr>
        <w:t xml:space="preserve">  Third, </w:t>
      </w:r>
      <w:r w:rsidR="00E716F7">
        <w:rPr>
          <w:rFonts w:ascii="Times New Roman" w:hAnsi="Times New Roman" w:cs="Times New Roman"/>
          <w:kern w:val="0"/>
          <w:sz w:val="24"/>
          <w:szCs w:val="24"/>
          <w14:ligatures w14:val="none"/>
        </w:rPr>
        <w:t>the analysis here suggests efficiency and equity in the economy will not be advanced by</w:t>
      </w:r>
      <w:r w:rsidR="00D168F3">
        <w:rPr>
          <w:rFonts w:ascii="Times New Roman" w:hAnsi="Times New Roman" w:cs="Times New Roman"/>
          <w:kern w:val="0"/>
          <w:sz w:val="24"/>
          <w:szCs w:val="24"/>
          <w14:ligatures w14:val="none"/>
        </w:rPr>
        <w:t xml:space="preserve"> two of the prominently discussed kinds of fundamental changes in corporate governance arrangements:</w:t>
      </w:r>
      <w:r w:rsidR="00E716F7">
        <w:rPr>
          <w:rFonts w:ascii="Times New Roman" w:hAnsi="Times New Roman" w:cs="Times New Roman"/>
          <w:kern w:val="0"/>
          <w:sz w:val="24"/>
          <w:szCs w:val="24"/>
          <w14:ligatures w14:val="none"/>
        </w:rPr>
        <w:t xml:space="preserve"> broadening the scope of the </w:t>
      </w:r>
      <w:r w:rsidR="00E716F7">
        <w:rPr>
          <w:rFonts w:ascii="Times New Roman" w:hAnsi="Times New Roman" w:cs="Times New Roman"/>
          <w:kern w:val="0"/>
          <w:sz w:val="24"/>
          <w:szCs w:val="24"/>
          <w14:ligatures w14:val="none"/>
        </w:rPr>
        <w:lastRenderedPageBreak/>
        <w:t>shareholder franchise to allow for votes concerning specific business decisions</w:t>
      </w:r>
      <w:r w:rsidR="00D168F3">
        <w:rPr>
          <w:rFonts w:ascii="Times New Roman" w:hAnsi="Times New Roman" w:cs="Times New Roman"/>
          <w:kern w:val="0"/>
          <w:sz w:val="24"/>
          <w:szCs w:val="24"/>
          <w14:ligatures w14:val="none"/>
        </w:rPr>
        <w:t>, and</w:t>
      </w:r>
      <w:r w:rsidR="00323151">
        <w:rPr>
          <w:rFonts w:ascii="Times New Roman" w:hAnsi="Times New Roman" w:cs="Times New Roman"/>
          <w:kern w:val="0"/>
          <w:sz w:val="24"/>
          <w:szCs w:val="24"/>
          <w14:ligatures w14:val="none"/>
        </w:rPr>
        <w:t xml:space="preserve"> softening the sticks and carrots that incentivize managers to maximize share value through an easing of fiduciary duties</w:t>
      </w:r>
      <w:r w:rsidR="00E716F7">
        <w:rPr>
          <w:rFonts w:ascii="Times New Roman" w:hAnsi="Times New Roman" w:cs="Times New Roman"/>
          <w:kern w:val="0"/>
          <w:sz w:val="24"/>
          <w:szCs w:val="24"/>
          <w14:ligatures w14:val="none"/>
        </w:rPr>
        <w:t>.</w:t>
      </w:r>
      <w:r w:rsidR="00D168F3">
        <w:rPr>
          <w:rStyle w:val="FootnoteReference"/>
          <w:rFonts w:ascii="Times New Roman" w:hAnsi="Times New Roman" w:cs="Times New Roman"/>
          <w:kern w:val="0"/>
          <w:sz w:val="24"/>
          <w:szCs w:val="24"/>
          <w14:ligatures w14:val="none"/>
        </w:rPr>
        <w:footnoteReference w:id="116"/>
      </w:r>
      <w:r w:rsidR="00F43E68">
        <w:rPr>
          <w:rFonts w:ascii="Times New Roman" w:hAnsi="Times New Roman" w:cs="Times New Roman"/>
          <w:kern w:val="0"/>
          <w:sz w:val="24"/>
          <w:szCs w:val="24"/>
          <w14:ligatures w14:val="none"/>
        </w:rPr>
        <w:t xml:space="preserve"> </w:t>
      </w:r>
      <w:r w:rsidR="00496F95">
        <w:rPr>
          <w:rFonts w:ascii="Times New Roman" w:hAnsi="Times New Roman" w:cs="Times New Roman"/>
          <w:kern w:val="0"/>
          <w:sz w:val="24"/>
          <w:szCs w:val="24"/>
          <w14:ligatures w14:val="none"/>
        </w:rPr>
        <w:t xml:space="preserve"> </w:t>
      </w:r>
      <w:r w:rsidR="00856A34">
        <w:rPr>
          <w:rFonts w:ascii="Times New Roman" w:hAnsi="Times New Roman" w:cs="Times New Roman"/>
          <w:kern w:val="0"/>
          <w:sz w:val="24"/>
          <w:szCs w:val="24"/>
          <w14:ligatures w14:val="none"/>
        </w:rPr>
        <w:t xml:space="preserve"> </w:t>
      </w:r>
    </w:p>
    <w:p w14:paraId="068804B2" w14:textId="77A67952" w:rsidR="00856A34" w:rsidRPr="00624515" w:rsidRDefault="00856A34" w:rsidP="00D370C8">
      <w:pPr>
        <w:pStyle w:val="ListParagraph"/>
        <w:numPr>
          <w:ilvl w:val="0"/>
          <w:numId w:val="47"/>
        </w:numPr>
        <w:spacing w:after="0" w:line="480" w:lineRule="auto"/>
        <w:ind w:right="90"/>
        <w:rPr>
          <w:rFonts w:cs="Times New Roman"/>
          <w:i/>
          <w:iCs/>
          <w:sz w:val="24"/>
          <w:szCs w:val="24"/>
        </w:rPr>
      </w:pPr>
      <w:r>
        <w:rPr>
          <w:rFonts w:cs="Times New Roman"/>
          <w:i/>
          <w:iCs/>
          <w:sz w:val="24"/>
          <w:szCs w:val="24"/>
        </w:rPr>
        <w:t>Corporate Purpose</w:t>
      </w:r>
      <w:r w:rsidR="00E716F7">
        <w:rPr>
          <w:rFonts w:cs="Times New Roman"/>
          <w:i/>
          <w:iCs/>
          <w:sz w:val="24"/>
          <w:szCs w:val="24"/>
        </w:rPr>
        <w:t xml:space="preserve">: </w:t>
      </w:r>
      <w:r>
        <w:rPr>
          <w:rFonts w:cs="Times New Roman"/>
          <w:i/>
          <w:iCs/>
          <w:sz w:val="24"/>
          <w:szCs w:val="24"/>
        </w:rPr>
        <w:t>Shareholder Primacy</w:t>
      </w:r>
      <w:r w:rsidR="00A0239A">
        <w:rPr>
          <w:rFonts w:cs="Times New Roman"/>
          <w:i/>
          <w:iCs/>
          <w:sz w:val="24"/>
          <w:szCs w:val="24"/>
        </w:rPr>
        <w:t xml:space="preserve"> </w:t>
      </w:r>
      <w:r w:rsidR="00D370C8">
        <w:rPr>
          <w:rFonts w:cs="Times New Roman"/>
          <w:i/>
          <w:iCs/>
          <w:sz w:val="24"/>
          <w:szCs w:val="24"/>
        </w:rPr>
        <w:t>V</w:t>
      </w:r>
      <w:r w:rsidR="00A0239A">
        <w:rPr>
          <w:rFonts w:cs="Times New Roman"/>
          <w:i/>
          <w:iCs/>
          <w:sz w:val="24"/>
          <w:szCs w:val="24"/>
        </w:rPr>
        <w:t>ersus the Alternative Ends Approach</w:t>
      </w:r>
    </w:p>
    <w:p w14:paraId="2B28C9F3" w14:textId="7FED6141" w:rsidR="00856A34" w:rsidRDefault="00856A34" w:rsidP="00856A34">
      <w:pPr>
        <w:spacing w:after="0" w:line="480" w:lineRule="auto"/>
        <w:ind w:right="90" w:firstLine="720"/>
        <w:jc w:val="both"/>
        <w:rPr>
          <w:rFonts w:ascii="Times New Roman" w:hAnsi="Times New Roman" w:cs="Times New Roman"/>
          <w:sz w:val="24"/>
          <w:szCs w:val="24"/>
        </w:rPr>
      </w:pPr>
      <w:r>
        <w:rPr>
          <w:rFonts w:ascii="Times New Roman" w:hAnsi="Times New Roman" w:cs="Times New Roman"/>
          <w:sz w:val="24"/>
          <w:szCs w:val="24"/>
        </w:rPr>
        <w:t xml:space="preserve">The corporate purpose debate is centered </w:t>
      </w:r>
      <w:r w:rsidR="00D168F3">
        <w:rPr>
          <w:rFonts w:ascii="Times New Roman" w:hAnsi="Times New Roman" w:cs="Times New Roman"/>
          <w:sz w:val="24"/>
          <w:szCs w:val="24"/>
        </w:rPr>
        <w:t>on t</w:t>
      </w:r>
      <w:r>
        <w:rPr>
          <w:rFonts w:ascii="Times New Roman" w:hAnsi="Times New Roman" w:cs="Times New Roman"/>
          <w:sz w:val="24"/>
          <w:szCs w:val="24"/>
        </w:rPr>
        <w:t>he question of the proper role of a corporation in society.</w:t>
      </w:r>
      <w:bookmarkStart w:id="26" w:name="_Ref180142540"/>
      <w:r>
        <w:rPr>
          <w:rStyle w:val="FootnoteReference"/>
          <w:rFonts w:ascii="Times New Roman" w:hAnsi="Times New Roman" w:cs="Times New Roman"/>
          <w:sz w:val="24"/>
          <w:szCs w:val="24"/>
        </w:rPr>
        <w:footnoteReference w:id="117"/>
      </w:r>
      <w:bookmarkEnd w:id="26"/>
      <w:r>
        <w:rPr>
          <w:rFonts w:ascii="Times New Roman" w:hAnsi="Times New Roman" w:cs="Times New Roman"/>
          <w:sz w:val="24"/>
          <w:szCs w:val="24"/>
        </w:rPr>
        <w:t xml:space="preserve"> Cast in the language of economics, th</w:t>
      </w:r>
      <w:r w:rsidR="008B6391">
        <w:rPr>
          <w:rFonts w:ascii="Times New Roman" w:hAnsi="Times New Roman" w:cs="Times New Roman"/>
          <w:sz w:val="24"/>
          <w:szCs w:val="24"/>
        </w:rPr>
        <w:t>is</w:t>
      </w:r>
      <w:r>
        <w:rPr>
          <w:rFonts w:ascii="Times New Roman" w:hAnsi="Times New Roman" w:cs="Times New Roman"/>
          <w:sz w:val="24"/>
          <w:szCs w:val="24"/>
        </w:rPr>
        <w:t xml:space="preserve"> debate interrogates the nature of the objective function that corporations should maximize. </w:t>
      </w:r>
      <w:r w:rsidR="008B6391">
        <w:rPr>
          <w:rFonts w:ascii="Times New Roman" w:hAnsi="Times New Roman" w:cs="Times New Roman"/>
          <w:sz w:val="24"/>
          <w:szCs w:val="24"/>
        </w:rPr>
        <w:t xml:space="preserve">Though dissenting voices have grown </w:t>
      </w:r>
      <w:r w:rsidR="00E716F7">
        <w:rPr>
          <w:rFonts w:ascii="Times New Roman" w:hAnsi="Times New Roman" w:cs="Times New Roman"/>
          <w:sz w:val="24"/>
          <w:szCs w:val="24"/>
        </w:rPr>
        <w:t xml:space="preserve">much </w:t>
      </w:r>
      <w:r w:rsidR="008B6391">
        <w:rPr>
          <w:rFonts w:ascii="Times New Roman" w:hAnsi="Times New Roman" w:cs="Times New Roman"/>
          <w:sz w:val="24"/>
          <w:szCs w:val="24"/>
        </w:rPr>
        <w:t xml:space="preserve">louder in recent years, </w:t>
      </w:r>
      <w:r>
        <w:rPr>
          <w:rFonts w:ascii="Times New Roman" w:hAnsi="Times New Roman" w:cs="Times New Roman"/>
          <w:sz w:val="24"/>
          <w:szCs w:val="24"/>
        </w:rPr>
        <w:t xml:space="preserve">the leading vision of corporate purpose </w:t>
      </w:r>
      <w:r w:rsidR="00E716F7">
        <w:rPr>
          <w:rFonts w:ascii="Times New Roman" w:hAnsi="Times New Roman" w:cs="Times New Roman"/>
          <w:sz w:val="24"/>
          <w:szCs w:val="24"/>
        </w:rPr>
        <w:t xml:space="preserve">among commentators in the United States </w:t>
      </w:r>
      <w:r>
        <w:rPr>
          <w:rFonts w:ascii="Times New Roman" w:hAnsi="Times New Roman" w:cs="Times New Roman"/>
          <w:sz w:val="24"/>
          <w:szCs w:val="24"/>
        </w:rPr>
        <w:t>has</w:t>
      </w:r>
      <w:r w:rsidR="00590365">
        <w:rPr>
          <w:rFonts w:ascii="Times New Roman" w:hAnsi="Times New Roman" w:cs="Times New Roman"/>
          <w:sz w:val="24"/>
          <w:szCs w:val="24"/>
        </w:rPr>
        <w:t xml:space="preserve"> been</w:t>
      </w:r>
      <w:r w:rsidR="008B6391">
        <w:rPr>
          <w:rFonts w:ascii="Times New Roman" w:hAnsi="Times New Roman" w:cs="Times New Roman"/>
          <w:sz w:val="24"/>
          <w:szCs w:val="24"/>
        </w:rPr>
        <w:t xml:space="preserve">, </w:t>
      </w:r>
      <w:r w:rsidR="00A0239A">
        <w:rPr>
          <w:rFonts w:ascii="Times New Roman" w:hAnsi="Times New Roman" w:cs="Times New Roman"/>
          <w:sz w:val="24"/>
          <w:szCs w:val="24"/>
        </w:rPr>
        <w:t xml:space="preserve">at least </w:t>
      </w:r>
      <w:r w:rsidR="008B6391">
        <w:rPr>
          <w:rFonts w:ascii="Times New Roman" w:hAnsi="Times New Roman" w:cs="Times New Roman"/>
          <w:sz w:val="24"/>
          <w:szCs w:val="24"/>
        </w:rPr>
        <w:t>since the 1970s,</w:t>
      </w:r>
      <w:r>
        <w:rPr>
          <w:rFonts w:ascii="Times New Roman" w:hAnsi="Times New Roman" w:cs="Times New Roman"/>
          <w:sz w:val="24"/>
          <w:szCs w:val="24"/>
        </w:rPr>
        <w:t xml:space="preserve"> shareholder primacy</w:t>
      </w:r>
      <w:r w:rsidR="008B6391">
        <w:rPr>
          <w:rFonts w:ascii="Times New Roman" w:hAnsi="Times New Roman" w:cs="Times New Roman"/>
          <w:sz w:val="24"/>
          <w:szCs w:val="24"/>
        </w:rPr>
        <w:t xml:space="preserve">.  </w:t>
      </w:r>
      <w:r w:rsidR="007F2E8F">
        <w:rPr>
          <w:rFonts w:ascii="Times New Roman" w:hAnsi="Times New Roman" w:cs="Times New Roman"/>
          <w:sz w:val="24"/>
          <w:szCs w:val="24"/>
        </w:rPr>
        <w:t xml:space="preserve">Shareholder primacy </w:t>
      </w:r>
      <w:r>
        <w:rPr>
          <w:rFonts w:ascii="Times New Roman" w:hAnsi="Times New Roman" w:cs="Times New Roman"/>
          <w:sz w:val="24"/>
          <w:szCs w:val="24"/>
        </w:rPr>
        <w:t>posits that corporate activity should be singularly directed at advancing the interests of the corporation’s shareholders.</w:t>
      </w:r>
      <w:r>
        <w:rPr>
          <w:rStyle w:val="FootnoteReference"/>
          <w:rFonts w:ascii="Times New Roman" w:hAnsi="Times New Roman" w:cs="Times New Roman"/>
          <w:sz w:val="24"/>
          <w:szCs w:val="24"/>
        </w:rPr>
        <w:footnoteReference w:id="118"/>
      </w:r>
      <w:r>
        <w:rPr>
          <w:rFonts w:ascii="Times New Roman" w:hAnsi="Times New Roman" w:cs="Times New Roman"/>
          <w:sz w:val="24"/>
          <w:szCs w:val="24"/>
        </w:rPr>
        <w:t xml:space="preserve"> When paired with the usual assumption that a corporation’s shareholders all want the firm to maximize share value, shareholder primacy reduces to the proposition that corporations should endeavor to maximize share value as a normative matter</w:t>
      </w:r>
      <w:r w:rsidR="00A0239A">
        <w:rPr>
          <w:rFonts w:ascii="Times New Roman" w:hAnsi="Times New Roman" w:cs="Times New Roman"/>
          <w:sz w:val="24"/>
          <w:szCs w:val="24"/>
        </w:rPr>
        <w:t>.</w:t>
      </w:r>
      <w:r w:rsidRPr="00C039D3">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19"/>
      </w:r>
      <w:r>
        <w:rPr>
          <w:rFonts w:ascii="Times New Roman" w:hAnsi="Times New Roman" w:cs="Times New Roman"/>
          <w:sz w:val="24"/>
          <w:szCs w:val="24"/>
        </w:rPr>
        <w:t xml:space="preserve">     </w:t>
      </w:r>
    </w:p>
    <w:p w14:paraId="56D84C56" w14:textId="23CEFAC0" w:rsidR="00856A34" w:rsidRDefault="00D23B5B" w:rsidP="00856A34">
      <w:pPr>
        <w:spacing w:after="0" w:line="480" w:lineRule="auto"/>
        <w:ind w:right="90" w:firstLine="720"/>
        <w:jc w:val="both"/>
        <w:rPr>
          <w:rFonts w:ascii="Times New Roman" w:hAnsi="Times New Roman" w:cs="Times New Roman"/>
          <w:sz w:val="24"/>
          <w:szCs w:val="24"/>
        </w:rPr>
      </w:pPr>
      <w:r>
        <w:rPr>
          <w:rFonts w:ascii="Times New Roman" w:hAnsi="Times New Roman" w:cs="Times New Roman"/>
          <w:sz w:val="24"/>
          <w:szCs w:val="24"/>
        </w:rPr>
        <w:t xml:space="preserve">Proponents of shareholder primacy recognize that an unconstrained corporation seeking to maximize share value will not </w:t>
      </w:r>
      <w:r w:rsidR="00856A34">
        <w:rPr>
          <w:rFonts w:ascii="Times New Roman" w:hAnsi="Times New Roman" w:cs="Times New Roman"/>
          <w:sz w:val="24"/>
          <w:szCs w:val="24"/>
        </w:rPr>
        <w:t xml:space="preserve">necessarily </w:t>
      </w:r>
      <w:r>
        <w:rPr>
          <w:rFonts w:ascii="Times New Roman" w:hAnsi="Times New Roman" w:cs="Times New Roman"/>
          <w:sz w:val="24"/>
          <w:szCs w:val="24"/>
        </w:rPr>
        <w:t xml:space="preserve">be acting in a way that </w:t>
      </w:r>
      <w:r w:rsidR="00856A34">
        <w:rPr>
          <w:rFonts w:ascii="Times New Roman" w:hAnsi="Times New Roman" w:cs="Times New Roman"/>
          <w:sz w:val="24"/>
          <w:szCs w:val="24"/>
        </w:rPr>
        <w:t xml:space="preserve">maximizes social welfare. </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As discussed in Part I, </w:t>
      </w:r>
      <w:r w:rsidR="00EA5570">
        <w:rPr>
          <w:rFonts w:ascii="Times New Roman" w:hAnsi="Times New Roman" w:cs="Times New Roman"/>
          <w:sz w:val="24"/>
          <w:szCs w:val="24"/>
        </w:rPr>
        <w:t xml:space="preserve">the existence of </w:t>
      </w:r>
      <w:r w:rsidR="00856A34">
        <w:rPr>
          <w:rFonts w:ascii="Times New Roman" w:hAnsi="Times New Roman" w:cs="Times New Roman"/>
          <w:sz w:val="24"/>
          <w:szCs w:val="24"/>
        </w:rPr>
        <w:t>market imperfect</w:t>
      </w:r>
      <w:r>
        <w:rPr>
          <w:rFonts w:ascii="Times New Roman" w:hAnsi="Times New Roman" w:cs="Times New Roman"/>
          <w:sz w:val="24"/>
          <w:szCs w:val="24"/>
        </w:rPr>
        <w:t>ions</w:t>
      </w:r>
      <w:r w:rsidR="00EA5570">
        <w:rPr>
          <w:rFonts w:ascii="Times New Roman" w:hAnsi="Times New Roman" w:cs="Times New Roman"/>
          <w:sz w:val="24"/>
          <w:szCs w:val="24"/>
        </w:rPr>
        <w:t xml:space="preserve"> means that</w:t>
      </w:r>
      <w:r w:rsidR="00856A34">
        <w:rPr>
          <w:rFonts w:ascii="Times New Roman" w:hAnsi="Times New Roman" w:cs="Times New Roman"/>
          <w:sz w:val="24"/>
          <w:szCs w:val="24"/>
        </w:rPr>
        <w:t xml:space="preserve"> </w:t>
      </w:r>
      <w:r>
        <w:rPr>
          <w:rFonts w:ascii="Times New Roman" w:hAnsi="Times New Roman" w:cs="Times New Roman"/>
          <w:sz w:val="24"/>
          <w:szCs w:val="24"/>
        </w:rPr>
        <w:t xml:space="preserve">share value maximization </w:t>
      </w:r>
      <w:r w:rsidR="00856A34">
        <w:rPr>
          <w:rFonts w:ascii="Times New Roman" w:hAnsi="Times New Roman" w:cs="Times New Roman"/>
          <w:sz w:val="24"/>
          <w:szCs w:val="24"/>
        </w:rPr>
        <w:t>can result in inefficient outcomes characterized by supra-competitive output prices, sub-competitive input prices including wages, or externalities, depending on the precise nature of the market imperfection.</w:t>
      </w:r>
      <w:r w:rsidR="008429E0">
        <w:rPr>
          <w:rStyle w:val="FootnoteReference"/>
          <w:rFonts w:ascii="Times New Roman" w:hAnsi="Times New Roman" w:cs="Times New Roman"/>
          <w:sz w:val="24"/>
          <w:szCs w:val="24"/>
        </w:rPr>
        <w:footnoteReference w:id="120"/>
      </w:r>
      <w:r w:rsidR="00856A34">
        <w:rPr>
          <w:rFonts w:ascii="Times New Roman" w:hAnsi="Times New Roman" w:cs="Times New Roman"/>
          <w:sz w:val="24"/>
          <w:szCs w:val="24"/>
        </w:rPr>
        <w:t xml:space="preserve">  </w:t>
      </w:r>
      <w:r>
        <w:rPr>
          <w:rFonts w:ascii="Times New Roman" w:hAnsi="Times New Roman" w:cs="Times New Roman"/>
          <w:sz w:val="24"/>
          <w:szCs w:val="24"/>
        </w:rPr>
        <w:t>P</w:t>
      </w:r>
      <w:r w:rsidR="00856A34">
        <w:rPr>
          <w:rFonts w:ascii="Times New Roman" w:hAnsi="Times New Roman" w:cs="Times New Roman"/>
          <w:sz w:val="24"/>
          <w:szCs w:val="24"/>
        </w:rPr>
        <w:t>rimacy advocates</w:t>
      </w:r>
      <w:r w:rsidR="008429E0">
        <w:rPr>
          <w:rFonts w:ascii="Times New Roman" w:hAnsi="Times New Roman" w:cs="Times New Roman"/>
          <w:sz w:val="24"/>
          <w:szCs w:val="24"/>
        </w:rPr>
        <w:t>, however,</w:t>
      </w:r>
      <w:r w:rsidR="00856A34">
        <w:rPr>
          <w:rFonts w:ascii="Times New Roman" w:hAnsi="Times New Roman" w:cs="Times New Roman"/>
          <w:sz w:val="24"/>
          <w:szCs w:val="24"/>
        </w:rPr>
        <w:t xml:space="preserve"> believe that correction of these inefficient outcomes is </w:t>
      </w:r>
      <w:r w:rsidR="008429E0">
        <w:rPr>
          <w:rFonts w:ascii="Times New Roman" w:hAnsi="Times New Roman" w:cs="Times New Roman"/>
          <w:sz w:val="24"/>
          <w:szCs w:val="24"/>
        </w:rPr>
        <w:t xml:space="preserve">most appropriately </w:t>
      </w:r>
      <w:r w:rsidR="00856A34">
        <w:rPr>
          <w:rFonts w:ascii="Times New Roman" w:hAnsi="Times New Roman" w:cs="Times New Roman"/>
          <w:sz w:val="24"/>
          <w:szCs w:val="24"/>
        </w:rPr>
        <w:t>within the province of the government and best addressed through the government’s tax and spend and regulatory polic</w:t>
      </w:r>
      <w:bookmarkStart w:id="27" w:name="_Ref180269020"/>
      <w:r w:rsidR="008429E0">
        <w:rPr>
          <w:rFonts w:ascii="Times New Roman" w:hAnsi="Times New Roman" w:cs="Times New Roman"/>
          <w:sz w:val="24"/>
          <w:szCs w:val="24"/>
        </w:rPr>
        <w:t>y.</w:t>
      </w:r>
      <w:bookmarkStart w:id="28" w:name="_Ref180747379"/>
      <w:r w:rsidR="00856A34">
        <w:rPr>
          <w:rStyle w:val="FootnoteReference"/>
          <w:rFonts w:ascii="Times New Roman" w:hAnsi="Times New Roman" w:cs="Times New Roman"/>
          <w:sz w:val="24"/>
          <w:szCs w:val="24"/>
        </w:rPr>
        <w:footnoteReference w:id="121"/>
      </w:r>
      <w:bookmarkEnd w:id="27"/>
      <w:bookmarkEnd w:id="28"/>
      <w:r w:rsidR="008429E0">
        <w:rPr>
          <w:rFonts w:ascii="Times New Roman" w:hAnsi="Times New Roman" w:cs="Times New Roman"/>
          <w:sz w:val="24"/>
          <w:szCs w:val="24"/>
        </w:rPr>
        <w:t xml:space="preserve">  </w:t>
      </w:r>
      <w:r w:rsidR="007F2E8F">
        <w:rPr>
          <w:rFonts w:ascii="Times New Roman" w:hAnsi="Times New Roman" w:cs="Times New Roman"/>
          <w:sz w:val="24"/>
          <w:szCs w:val="24"/>
        </w:rPr>
        <w:t xml:space="preserve">Most proponents of shareholder primacy would also view </w:t>
      </w:r>
      <w:r w:rsidR="00575B2B">
        <w:rPr>
          <w:rFonts w:ascii="Times New Roman" w:hAnsi="Times New Roman" w:cs="Times New Roman"/>
          <w:sz w:val="24"/>
          <w:szCs w:val="24"/>
        </w:rPr>
        <w:t xml:space="preserve">as inequitable </w:t>
      </w:r>
      <w:r w:rsidR="007F2E8F">
        <w:rPr>
          <w:rFonts w:ascii="Times New Roman" w:hAnsi="Times New Roman" w:cs="Times New Roman"/>
          <w:sz w:val="24"/>
          <w:szCs w:val="24"/>
        </w:rPr>
        <w:t>the</w:t>
      </w:r>
      <w:r w:rsidR="00D3625F">
        <w:rPr>
          <w:rFonts w:ascii="Times New Roman" w:hAnsi="Times New Roman" w:cs="Times New Roman"/>
          <w:sz w:val="24"/>
          <w:szCs w:val="24"/>
        </w:rPr>
        <w:t xml:space="preserve"> pre-tax-and-transfer distribution of wealth in a world of share-value-maximizing corporations</w:t>
      </w:r>
      <w:r w:rsidR="00575B2B">
        <w:rPr>
          <w:rFonts w:ascii="Times New Roman" w:hAnsi="Times New Roman" w:cs="Times New Roman"/>
          <w:sz w:val="24"/>
          <w:szCs w:val="24"/>
        </w:rPr>
        <w:t xml:space="preserve">. </w:t>
      </w:r>
      <w:r w:rsidR="00D3625F">
        <w:rPr>
          <w:rFonts w:ascii="Times New Roman" w:hAnsi="Times New Roman" w:cs="Times New Roman"/>
          <w:sz w:val="24"/>
          <w:szCs w:val="24"/>
        </w:rPr>
        <w:t xml:space="preserve"> </w:t>
      </w:r>
      <w:r w:rsidR="007E640A">
        <w:rPr>
          <w:rFonts w:ascii="Times New Roman" w:hAnsi="Times New Roman" w:cs="Times New Roman"/>
          <w:sz w:val="24"/>
          <w:szCs w:val="24"/>
        </w:rPr>
        <w:t xml:space="preserve">But we do have taxes, including a progressive income tax, and transfers many of which are aimed at lower income citizens.  </w:t>
      </w:r>
      <w:r w:rsidR="000B428A">
        <w:rPr>
          <w:rFonts w:ascii="Times New Roman" w:hAnsi="Times New Roman" w:cs="Times New Roman"/>
          <w:sz w:val="24"/>
          <w:szCs w:val="24"/>
        </w:rPr>
        <w:t>S</w:t>
      </w:r>
      <w:r w:rsidR="00856A34">
        <w:rPr>
          <w:rFonts w:ascii="Times New Roman" w:hAnsi="Times New Roman" w:cs="Times New Roman"/>
          <w:sz w:val="24"/>
          <w:szCs w:val="24"/>
        </w:rPr>
        <w:t xml:space="preserve">hareholder primacy advocates would argue that </w:t>
      </w:r>
      <w:r w:rsidR="00D66BE9">
        <w:rPr>
          <w:rFonts w:ascii="Times New Roman" w:hAnsi="Times New Roman" w:cs="Times New Roman"/>
          <w:sz w:val="24"/>
          <w:szCs w:val="24"/>
        </w:rPr>
        <w:t xml:space="preserve">if further </w:t>
      </w:r>
      <w:r w:rsidR="00856A34">
        <w:rPr>
          <w:rFonts w:ascii="Times New Roman" w:hAnsi="Times New Roman" w:cs="Times New Roman"/>
          <w:sz w:val="24"/>
          <w:szCs w:val="24"/>
        </w:rPr>
        <w:t xml:space="preserve">wealth redistribution is </w:t>
      </w:r>
      <w:r w:rsidR="00D66BE9">
        <w:rPr>
          <w:rFonts w:ascii="Times New Roman" w:hAnsi="Times New Roman" w:cs="Times New Roman"/>
          <w:sz w:val="24"/>
          <w:szCs w:val="24"/>
        </w:rPr>
        <w:t xml:space="preserve">still needed, it is </w:t>
      </w:r>
      <w:r w:rsidR="00856A34">
        <w:rPr>
          <w:rFonts w:ascii="Times New Roman" w:hAnsi="Times New Roman" w:cs="Times New Roman"/>
          <w:sz w:val="24"/>
          <w:szCs w:val="24"/>
        </w:rPr>
        <w:t xml:space="preserve">best undertaken by </w:t>
      </w:r>
      <w:r w:rsidR="0086767A">
        <w:rPr>
          <w:rFonts w:ascii="Times New Roman" w:hAnsi="Times New Roman" w:cs="Times New Roman"/>
          <w:sz w:val="24"/>
          <w:szCs w:val="24"/>
        </w:rPr>
        <w:t xml:space="preserve">more in the way of </w:t>
      </w:r>
      <w:r w:rsidR="00856A34">
        <w:rPr>
          <w:rFonts w:ascii="Times New Roman" w:hAnsi="Times New Roman" w:cs="Times New Roman"/>
          <w:sz w:val="24"/>
          <w:szCs w:val="24"/>
        </w:rPr>
        <w:t>government</w:t>
      </w:r>
      <w:r w:rsidR="0086767A">
        <w:rPr>
          <w:rFonts w:ascii="Times New Roman" w:hAnsi="Times New Roman" w:cs="Times New Roman"/>
          <w:sz w:val="24"/>
          <w:szCs w:val="24"/>
        </w:rPr>
        <w:t>al taxes and transfers</w:t>
      </w:r>
      <w:r w:rsidR="001D331D">
        <w:rPr>
          <w:rFonts w:ascii="Times New Roman" w:hAnsi="Times New Roman" w:cs="Times New Roman"/>
          <w:sz w:val="24"/>
          <w:szCs w:val="24"/>
        </w:rPr>
        <w:t xml:space="preserve"> </w:t>
      </w:r>
      <w:r w:rsidR="000B428A">
        <w:rPr>
          <w:rFonts w:ascii="Times New Roman" w:hAnsi="Times New Roman" w:cs="Times New Roman"/>
          <w:sz w:val="24"/>
          <w:szCs w:val="24"/>
        </w:rPr>
        <w:t xml:space="preserve">and </w:t>
      </w:r>
      <w:r w:rsidR="001D331D">
        <w:rPr>
          <w:rFonts w:ascii="Times New Roman" w:hAnsi="Times New Roman" w:cs="Times New Roman"/>
          <w:sz w:val="24"/>
          <w:szCs w:val="24"/>
        </w:rPr>
        <w:t xml:space="preserve">by </w:t>
      </w:r>
      <w:r w:rsidR="000B428A">
        <w:rPr>
          <w:rFonts w:ascii="Times New Roman" w:hAnsi="Times New Roman" w:cs="Times New Roman"/>
          <w:sz w:val="24"/>
          <w:szCs w:val="24"/>
        </w:rPr>
        <w:t>individual charity</w:t>
      </w:r>
      <w:r w:rsidR="001D331D">
        <w:rPr>
          <w:rFonts w:ascii="Times New Roman" w:hAnsi="Times New Roman" w:cs="Times New Roman"/>
          <w:sz w:val="24"/>
          <w:szCs w:val="24"/>
        </w:rPr>
        <w:t>,</w:t>
      </w:r>
      <w:r w:rsidR="000B428A">
        <w:rPr>
          <w:rFonts w:ascii="Times New Roman" w:hAnsi="Times New Roman" w:cs="Times New Roman"/>
          <w:sz w:val="24"/>
          <w:szCs w:val="24"/>
        </w:rPr>
        <w:t xml:space="preserve"> </w:t>
      </w:r>
      <w:r w:rsidR="00856A34">
        <w:rPr>
          <w:rFonts w:ascii="Times New Roman" w:hAnsi="Times New Roman" w:cs="Times New Roman"/>
          <w:sz w:val="24"/>
          <w:szCs w:val="24"/>
        </w:rPr>
        <w:t xml:space="preserve">rather than by corporations </w:t>
      </w:r>
      <w:r w:rsidR="000B428A">
        <w:rPr>
          <w:rFonts w:ascii="Times New Roman" w:hAnsi="Times New Roman" w:cs="Times New Roman"/>
          <w:sz w:val="24"/>
          <w:szCs w:val="24"/>
        </w:rPr>
        <w:t>charging less than competitive prices for their outputs or paying more than competitive prices for their inputs.</w:t>
      </w:r>
      <w:r w:rsidR="00856A34">
        <w:rPr>
          <w:rStyle w:val="FootnoteReference"/>
          <w:rFonts w:ascii="Times New Roman" w:hAnsi="Times New Roman" w:cs="Times New Roman"/>
          <w:sz w:val="24"/>
          <w:szCs w:val="24"/>
        </w:rPr>
        <w:footnoteReference w:id="122"/>
      </w:r>
      <w:r w:rsidR="00856A34">
        <w:rPr>
          <w:rFonts w:ascii="Times New Roman" w:hAnsi="Times New Roman" w:cs="Times New Roman"/>
          <w:sz w:val="24"/>
          <w:szCs w:val="24"/>
        </w:rPr>
        <w:t xml:space="preserve"> Implicit in these positions is the belief that</w:t>
      </w:r>
      <w:r w:rsidR="00D66BE9">
        <w:rPr>
          <w:rFonts w:ascii="Times New Roman" w:hAnsi="Times New Roman" w:cs="Times New Roman"/>
          <w:sz w:val="24"/>
          <w:szCs w:val="24"/>
        </w:rPr>
        <w:t xml:space="preserve">, though well short of ideal, </w:t>
      </w:r>
      <w:r w:rsidR="00856A34">
        <w:rPr>
          <w:rFonts w:ascii="Times New Roman" w:hAnsi="Times New Roman" w:cs="Times New Roman"/>
          <w:sz w:val="24"/>
          <w:szCs w:val="24"/>
        </w:rPr>
        <w:t xml:space="preserve">the government maintains </w:t>
      </w:r>
      <w:r w:rsidR="00D66BE9">
        <w:rPr>
          <w:rFonts w:ascii="Times New Roman" w:hAnsi="Times New Roman" w:cs="Times New Roman"/>
          <w:sz w:val="24"/>
          <w:szCs w:val="24"/>
        </w:rPr>
        <w:t xml:space="preserve">a workable </w:t>
      </w:r>
      <w:r w:rsidR="00856A34">
        <w:rPr>
          <w:rFonts w:ascii="Times New Roman" w:hAnsi="Times New Roman" w:cs="Times New Roman"/>
          <w:sz w:val="24"/>
          <w:szCs w:val="24"/>
        </w:rPr>
        <w:t>ability to enact efficiency-enhancing regulation and to redistribute income in a manner consistent with societal preferences</w:t>
      </w:r>
      <w:r w:rsidR="00D66BE9">
        <w:rPr>
          <w:rFonts w:ascii="Times New Roman" w:hAnsi="Times New Roman" w:cs="Times New Roman"/>
          <w:sz w:val="24"/>
          <w:szCs w:val="24"/>
        </w:rPr>
        <w:t>.</w:t>
      </w:r>
      <w:r w:rsidR="00856A34">
        <w:rPr>
          <w:rFonts w:ascii="Times New Roman" w:hAnsi="Times New Roman" w:cs="Times New Roman"/>
          <w:sz w:val="24"/>
          <w:szCs w:val="24"/>
        </w:rPr>
        <w:t xml:space="preserve"> </w:t>
      </w:r>
    </w:p>
    <w:p w14:paraId="4A30B54C" w14:textId="2DE15283" w:rsidR="00434565" w:rsidRDefault="00754544" w:rsidP="00434565">
      <w:pPr>
        <w:spacing w:after="0" w:line="480" w:lineRule="auto"/>
        <w:ind w:right="90" w:firstLine="720"/>
        <w:jc w:val="both"/>
        <w:rPr>
          <w:rFonts w:ascii="Times New Roman" w:hAnsi="Times New Roman" w:cs="Times New Roman"/>
          <w:sz w:val="24"/>
          <w:szCs w:val="24"/>
        </w:rPr>
      </w:pPr>
      <w:r>
        <w:rPr>
          <w:rFonts w:ascii="Times New Roman" w:hAnsi="Times New Roman" w:cs="Times New Roman"/>
          <w:sz w:val="24"/>
          <w:szCs w:val="24"/>
        </w:rPr>
        <w:t xml:space="preserve">Much of the </w:t>
      </w:r>
      <w:r w:rsidR="001D331D">
        <w:rPr>
          <w:rFonts w:ascii="Times New Roman" w:hAnsi="Times New Roman" w:cs="Times New Roman"/>
          <w:sz w:val="24"/>
          <w:szCs w:val="24"/>
        </w:rPr>
        <w:t xml:space="preserve">increasing </w:t>
      </w:r>
      <w:r w:rsidR="0095692E">
        <w:rPr>
          <w:rFonts w:ascii="Times New Roman" w:hAnsi="Times New Roman" w:cs="Times New Roman"/>
          <w:sz w:val="24"/>
          <w:szCs w:val="24"/>
        </w:rPr>
        <w:t xml:space="preserve">scholarly </w:t>
      </w:r>
      <w:r w:rsidR="001D331D">
        <w:rPr>
          <w:rFonts w:ascii="Times New Roman" w:hAnsi="Times New Roman" w:cs="Times New Roman"/>
          <w:sz w:val="24"/>
          <w:szCs w:val="24"/>
        </w:rPr>
        <w:t>i</w:t>
      </w:r>
      <w:r>
        <w:rPr>
          <w:rFonts w:ascii="Times New Roman" w:hAnsi="Times New Roman" w:cs="Times New Roman"/>
          <w:sz w:val="24"/>
          <w:szCs w:val="24"/>
        </w:rPr>
        <w:t>nterest in alternative ends approaches to corporate purpose stem</w:t>
      </w:r>
      <w:r w:rsidR="001D331D">
        <w:rPr>
          <w:rFonts w:ascii="Times New Roman" w:hAnsi="Times New Roman" w:cs="Times New Roman"/>
          <w:sz w:val="24"/>
          <w:szCs w:val="24"/>
        </w:rPr>
        <w:t>s</w:t>
      </w:r>
      <w:r>
        <w:rPr>
          <w:rFonts w:ascii="Times New Roman" w:hAnsi="Times New Roman" w:cs="Times New Roman"/>
          <w:sz w:val="24"/>
          <w:szCs w:val="24"/>
        </w:rPr>
        <w:t xml:space="preserve"> from </w:t>
      </w:r>
      <w:r w:rsidR="00D66BE9">
        <w:rPr>
          <w:rFonts w:ascii="Times New Roman" w:hAnsi="Times New Roman" w:cs="Times New Roman"/>
          <w:sz w:val="24"/>
          <w:szCs w:val="24"/>
        </w:rPr>
        <w:t xml:space="preserve">a sense that the problem of corporate externalities is getting more serious, </w:t>
      </w:r>
      <w:r w:rsidR="00642FC2">
        <w:rPr>
          <w:rFonts w:ascii="Times New Roman" w:hAnsi="Times New Roman" w:cs="Times New Roman"/>
          <w:sz w:val="24"/>
          <w:szCs w:val="24"/>
        </w:rPr>
        <w:lastRenderedPageBreak/>
        <w:t xml:space="preserve">especially </w:t>
      </w:r>
      <w:r w:rsidR="00D57A0E">
        <w:rPr>
          <w:rFonts w:ascii="Times New Roman" w:hAnsi="Times New Roman" w:cs="Times New Roman"/>
          <w:sz w:val="24"/>
          <w:szCs w:val="24"/>
        </w:rPr>
        <w:t>in connection with climate change</w:t>
      </w:r>
      <w:r w:rsidR="00D66BE9">
        <w:rPr>
          <w:rFonts w:ascii="Times New Roman" w:hAnsi="Times New Roman" w:cs="Times New Roman"/>
          <w:sz w:val="24"/>
          <w:szCs w:val="24"/>
        </w:rPr>
        <w:t xml:space="preserve">, which is widely regarded as an existential threat.  </w:t>
      </w:r>
      <w:r w:rsidR="00642FC2">
        <w:rPr>
          <w:rFonts w:ascii="Times New Roman" w:hAnsi="Times New Roman" w:cs="Times New Roman"/>
          <w:sz w:val="24"/>
          <w:szCs w:val="24"/>
        </w:rPr>
        <w:t xml:space="preserve">There </w:t>
      </w:r>
      <w:r w:rsidR="005F424C">
        <w:rPr>
          <w:rFonts w:ascii="Times New Roman" w:hAnsi="Times New Roman" w:cs="Times New Roman"/>
          <w:sz w:val="24"/>
          <w:szCs w:val="24"/>
        </w:rPr>
        <w:t>i</w:t>
      </w:r>
      <w:r w:rsidR="00642FC2">
        <w:rPr>
          <w:rFonts w:ascii="Times New Roman" w:hAnsi="Times New Roman" w:cs="Times New Roman"/>
          <w:sz w:val="24"/>
          <w:szCs w:val="24"/>
        </w:rPr>
        <w:t xml:space="preserve">s also a wide-spread sense that </w:t>
      </w:r>
      <w:r w:rsidR="0095692E">
        <w:rPr>
          <w:rFonts w:ascii="Times New Roman" w:hAnsi="Times New Roman" w:cs="Times New Roman"/>
          <w:sz w:val="24"/>
          <w:szCs w:val="24"/>
        </w:rPr>
        <w:t xml:space="preserve">the </w:t>
      </w:r>
      <w:r w:rsidR="00642FC2">
        <w:rPr>
          <w:rFonts w:ascii="Times New Roman" w:hAnsi="Times New Roman" w:cs="Times New Roman"/>
          <w:sz w:val="24"/>
          <w:szCs w:val="24"/>
        </w:rPr>
        <w:t>after</w:t>
      </w:r>
      <w:r w:rsidR="0095692E">
        <w:rPr>
          <w:rFonts w:ascii="Times New Roman" w:hAnsi="Times New Roman" w:cs="Times New Roman"/>
          <w:sz w:val="24"/>
          <w:szCs w:val="24"/>
        </w:rPr>
        <w:t>-</w:t>
      </w:r>
      <w:r w:rsidR="00642FC2">
        <w:rPr>
          <w:rFonts w:ascii="Times New Roman" w:hAnsi="Times New Roman" w:cs="Times New Roman"/>
          <w:sz w:val="24"/>
          <w:szCs w:val="24"/>
        </w:rPr>
        <w:t>tax</w:t>
      </w:r>
      <w:r w:rsidR="0095692E">
        <w:rPr>
          <w:rFonts w:ascii="Times New Roman" w:hAnsi="Times New Roman" w:cs="Times New Roman"/>
          <w:sz w:val="24"/>
          <w:szCs w:val="24"/>
        </w:rPr>
        <w:t>-</w:t>
      </w:r>
      <w:r w:rsidR="00642FC2">
        <w:rPr>
          <w:rFonts w:ascii="Times New Roman" w:hAnsi="Times New Roman" w:cs="Times New Roman"/>
          <w:sz w:val="24"/>
          <w:szCs w:val="24"/>
        </w:rPr>
        <w:t>and</w:t>
      </w:r>
      <w:r w:rsidR="001D331D">
        <w:rPr>
          <w:rFonts w:ascii="Times New Roman" w:hAnsi="Times New Roman" w:cs="Times New Roman"/>
          <w:sz w:val="24"/>
          <w:szCs w:val="24"/>
        </w:rPr>
        <w:t>-</w:t>
      </w:r>
      <w:r w:rsidR="00642FC2">
        <w:rPr>
          <w:rFonts w:ascii="Times New Roman" w:hAnsi="Times New Roman" w:cs="Times New Roman"/>
          <w:sz w:val="24"/>
          <w:szCs w:val="24"/>
        </w:rPr>
        <w:t xml:space="preserve">transfers </w:t>
      </w:r>
      <w:r w:rsidR="0095692E">
        <w:rPr>
          <w:rFonts w:ascii="Times New Roman" w:hAnsi="Times New Roman" w:cs="Times New Roman"/>
          <w:sz w:val="24"/>
          <w:szCs w:val="24"/>
        </w:rPr>
        <w:t xml:space="preserve">distribution of wealth is </w:t>
      </w:r>
      <w:r w:rsidR="001D331D">
        <w:rPr>
          <w:rFonts w:ascii="Times New Roman" w:hAnsi="Times New Roman" w:cs="Times New Roman"/>
          <w:sz w:val="24"/>
          <w:szCs w:val="24"/>
        </w:rPr>
        <w:t xml:space="preserve">still </w:t>
      </w:r>
      <w:r w:rsidR="0095692E">
        <w:rPr>
          <w:rFonts w:ascii="Times New Roman" w:hAnsi="Times New Roman" w:cs="Times New Roman"/>
          <w:sz w:val="24"/>
          <w:szCs w:val="24"/>
        </w:rPr>
        <w:t xml:space="preserve">too unequal and getting more so. </w:t>
      </w:r>
      <w:r w:rsidR="00D63D0D">
        <w:rPr>
          <w:rFonts w:ascii="Times New Roman" w:hAnsi="Times New Roman" w:cs="Times New Roman"/>
          <w:sz w:val="24"/>
          <w:szCs w:val="24"/>
        </w:rPr>
        <w:t xml:space="preserve">These twin concerns, each in one way or another characterizable in terms of the unsatisfactory impact of </w:t>
      </w:r>
      <w:r w:rsidR="0095692E">
        <w:rPr>
          <w:rFonts w:ascii="Times New Roman" w:hAnsi="Times New Roman" w:cs="Times New Roman"/>
          <w:sz w:val="24"/>
          <w:szCs w:val="24"/>
        </w:rPr>
        <w:t xml:space="preserve">share-value-maximizing </w:t>
      </w:r>
      <w:r w:rsidR="00D63D0D">
        <w:rPr>
          <w:rFonts w:ascii="Times New Roman" w:hAnsi="Times New Roman" w:cs="Times New Roman"/>
          <w:sz w:val="24"/>
          <w:szCs w:val="24"/>
        </w:rPr>
        <w:t xml:space="preserve">corporate behavior on persons other than shareholders, has been combined with </w:t>
      </w:r>
      <w:r w:rsidR="00856A34">
        <w:rPr>
          <w:rFonts w:ascii="Times New Roman" w:hAnsi="Times New Roman" w:cs="Times New Roman"/>
          <w:sz w:val="24"/>
          <w:szCs w:val="24"/>
        </w:rPr>
        <w:t xml:space="preserve">increasing skepticism </w:t>
      </w:r>
      <w:r w:rsidR="0095692E">
        <w:rPr>
          <w:rFonts w:ascii="Times New Roman" w:hAnsi="Times New Roman" w:cs="Times New Roman"/>
          <w:sz w:val="24"/>
          <w:szCs w:val="24"/>
        </w:rPr>
        <w:t xml:space="preserve">concerning the </w:t>
      </w:r>
      <w:r w:rsidR="00856A34">
        <w:rPr>
          <w:rFonts w:ascii="Times New Roman" w:hAnsi="Times New Roman" w:cs="Times New Roman"/>
          <w:sz w:val="24"/>
          <w:szCs w:val="24"/>
        </w:rPr>
        <w:t>government</w:t>
      </w:r>
      <w:r w:rsidR="001D331D">
        <w:rPr>
          <w:rFonts w:ascii="Times New Roman" w:hAnsi="Times New Roman" w:cs="Times New Roman"/>
          <w:sz w:val="24"/>
          <w:szCs w:val="24"/>
        </w:rPr>
        <w:t>’s</w:t>
      </w:r>
      <w:r w:rsidR="00856A34">
        <w:rPr>
          <w:rFonts w:ascii="Times New Roman" w:hAnsi="Times New Roman" w:cs="Times New Roman"/>
          <w:sz w:val="24"/>
          <w:szCs w:val="24"/>
        </w:rPr>
        <w:t xml:space="preserve"> </w:t>
      </w:r>
      <w:r w:rsidR="0095692E">
        <w:rPr>
          <w:rFonts w:ascii="Times New Roman" w:hAnsi="Times New Roman" w:cs="Times New Roman"/>
          <w:sz w:val="24"/>
          <w:szCs w:val="24"/>
        </w:rPr>
        <w:t>capacity to remedy them.</w:t>
      </w:r>
      <w:r w:rsidR="00856A34" w:rsidRPr="00C345C3">
        <w:rPr>
          <w:rFonts w:ascii="Times New Roman" w:hAnsi="Times New Roman" w:cs="Times New Roman"/>
          <w:sz w:val="24"/>
          <w:szCs w:val="24"/>
        </w:rPr>
        <w:t xml:space="preserve"> </w:t>
      </w:r>
      <w:r w:rsidR="00D63D0D">
        <w:rPr>
          <w:rFonts w:ascii="Times New Roman" w:hAnsi="Times New Roman" w:cs="Times New Roman"/>
          <w:sz w:val="24"/>
          <w:szCs w:val="24"/>
        </w:rPr>
        <w:t>Th</w:t>
      </w:r>
      <w:r w:rsidR="0095692E">
        <w:rPr>
          <w:rFonts w:ascii="Times New Roman" w:hAnsi="Times New Roman" w:cs="Times New Roman"/>
          <w:sz w:val="24"/>
          <w:szCs w:val="24"/>
        </w:rPr>
        <w:t xml:space="preserve">e solution in the eyes of some scholars is </w:t>
      </w:r>
      <w:r w:rsidR="00856A34" w:rsidRPr="00C345C3">
        <w:rPr>
          <w:rFonts w:ascii="Times New Roman" w:hAnsi="Times New Roman" w:cs="Times New Roman"/>
          <w:sz w:val="24"/>
          <w:szCs w:val="24"/>
        </w:rPr>
        <w:t>a</w:t>
      </w:r>
      <w:r w:rsidR="00D63D0D">
        <w:rPr>
          <w:rFonts w:ascii="Times New Roman" w:hAnsi="Times New Roman" w:cs="Times New Roman"/>
          <w:sz w:val="24"/>
          <w:szCs w:val="24"/>
        </w:rPr>
        <w:t xml:space="preserve">n alternative ends approach to corporate purpose, whereby corporations deviate from </w:t>
      </w:r>
      <w:r w:rsidR="00856A34" w:rsidRPr="00C345C3">
        <w:rPr>
          <w:rFonts w:ascii="Times New Roman" w:hAnsi="Times New Roman" w:cs="Times New Roman"/>
          <w:sz w:val="24"/>
          <w:szCs w:val="24"/>
        </w:rPr>
        <w:t>share</w:t>
      </w:r>
      <w:r w:rsidR="00D57A0E">
        <w:rPr>
          <w:rFonts w:ascii="Times New Roman" w:hAnsi="Times New Roman" w:cs="Times New Roman"/>
          <w:sz w:val="24"/>
          <w:szCs w:val="24"/>
        </w:rPr>
        <w:t xml:space="preserve"> </w:t>
      </w:r>
      <w:r w:rsidR="00856A34" w:rsidRPr="00C345C3">
        <w:rPr>
          <w:rFonts w:ascii="Times New Roman" w:hAnsi="Times New Roman" w:cs="Times New Roman"/>
          <w:sz w:val="24"/>
          <w:szCs w:val="24"/>
        </w:rPr>
        <w:t>value maximizing behavior in furtherance of the needs of these other persons.</w:t>
      </w:r>
      <w:bookmarkStart w:id="29" w:name="_Ref180747715"/>
      <w:r w:rsidR="00856A34">
        <w:rPr>
          <w:rStyle w:val="FootnoteReference"/>
          <w:rFonts w:ascii="Times New Roman" w:hAnsi="Times New Roman" w:cs="Times New Roman"/>
          <w:sz w:val="24"/>
          <w:szCs w:val="24"/>
        </w:rPr>
        <w:footnoteReference w:id="123"/>
      </w:r>
      <w:bookmarkEnd w:id="29"/>
      <w:r w:rsidR="00856A34" w:rsidRPr="00C345C3">
        <w:rPr>
          <w:rFonts w:ascii="Times New Roman" w:hAnsi="Times New Roman" w:cs="Times New Roman"/>
          <w:sz w:val="24"/>
          <w:szCs w:val="24"/>
        </w:rPr>
        <w:t xml:space="preserve"> </w:t>
      </w:r>
      <w:r w:rsidR="00B330FF">
        <w:rPr>
          <w:rFonts w:ascii="Times New Roman" w:hAnsi="Times New Roman" w:cs="Times New Roman"/>
          <w:sz w:val="24"/>
          <w:szCs w:val="24"/>
        </w:rPr>
        <w:t xml:space="preserve">In essence, their </w:t>
      </w:r>
      <w:r w:rsidR="00856A34">
        <w:rPr>
          <w:rFonts w:ascii="Times New Roman" w:hAnsi="Times New Roman" w:cs="Times New Roman"/>
          <w:sz w:val="24"/>
          <w:szCs w:val="24"/>
        </w:rPr>
        <w:t>vision—</w:t>
      </w:r>
      <w:r w:rsidR="00D63D0D">
        <w:rPr>
          <w:rFonts w:ascii="Times New Roman" w:hAnsi="Times New Roman" w:cs="Times New Roman"/>
          <w:sz w:val="24"/>
          <w:szCs w:val="24"/>
        </w:rPr>
        <w:t>whether it goes under the banner of CSR, ESG</w:t>
      </w:r>
      <w:r w:rsidR="008C2E9D">
        <w:rPr>
          <w:rFonts w:ascii="Times New Roman" w:hAnsi="Times New Roman" w:cs="Times New Roman"/>
          <w:sz w:val="24"/>
          <w:szCs w:val="24"/>
        </w:rPr>
        <w:t>,</w:t>
      </w:r>
      <w:r w:rsidR="00D63D0D">
        <w:rPr>
          <w:rFonts w:ascii="Times New Roman" w:hAnsi="Times New Roman" w:cs="Times New Roman"/>
          <w:sz w:val="24"/>
          <w:szCs w:val="24"/>
        </w:rPr>
        <w:t xml:space="preserve"> or </w:t>
      </w:r>
      <w:r w:rsidR="00856A34">
        <w:rPr>
          <w:rFonts w:ascii="Times New Roman" w:hAnsi="Times New Roman" w:cs="Times New Roman"/>
          <w:sz w:val="24"/>
          <w:szCs w:val="24"/>
        </w:rPr>
        <w:t>stakeholderism</w:t>
      </w:r>
      <w:bookmarkStart w:id="30" w:name="_Ref180273956"/>
      <w:r w:rsidR="00856A34">
        <w:rPr>
          <w:rStyle w:val="FootnoteReference"/>
          <w:rFonts w:ascii="Times New Roman" w:hAnsi="Times New Roman" w:cs="Times New Roman"/>
          <w:sz w:val="24"/>
          <w:szCs w:val="24"/>
        </w:rPr>
        <w:footnoteReference w:id="124"/>
      </w:r>
      <w:bookmarkEnd w:id="30"/>
      <w:r w:rsidR="00856A34">
        <w:rPr>
          <w:rFonts w:ascii="Times New Roman" w:hAnsi="Times New Roman" w:cs="Times New Roman"/>
          <w:sz w:val="24"/>
          <w:szCs w:val="24"/>
        </w:rPr>
        <w:t>—is grounded in the belief that many of the persistent social and economic ills we observe today can be traced to corporations’ drive to generate profit and to a government that is no longer capable of enacting curative regulation, in part because of the significant influence that corporations have on the political process.</w:t>
      </w:r>
      <w:bookmarkStart w:id="31" w:name="_Ref180700765"/>
      <w:r w:rsidR="00856A34">
        <w:rPr>
          <w:rStyle w:val="FootnoteReference"/>
          <w:rFonts w:ascii="Times New Roman" w:hAnsi="Times New Roman" w:cs="Times New Roman"/>
          <w:sz w:val="24"/>
          <w:szCs w:val="24"/>
        </w:rPr>
        <w:footnoteReference w:id="125"/>
      </w:r>
      <w:bookmarkEnd w:id="31"/>
      <w:r w:rsidR="00856A34">
        <w:rPr>
          <w:rFonts w:ascii="Times New Roman" w:hAnsi="Times New Roman" w:cs="Times New Roman"/>
          <w:sz w:val="24"/>
          <w:szCs w:val="24"/>
        </w:rPr>
        <w:t xml:space="preserve"> </w:t>
      </w:r>
      <w:r w:rsidR="00B330FF">
        <w:rPr>
          <w:rFonts w:ascii="Times New Roman" w:hAnsi="Times New Roman" w:cs="Times New Roman"/>
          <w:sz w:val="24"/>
          <w:szCs w:val="24"/>
        </w:rPr>
        <w:t>P</w:t>
      </w:r>
      <w:r w:rsidR="00856A34">
        <w:rPr>
          <w:rFonts w:ascii="Times New Roman" w:hAnsi="Times New Roman" w:cs="Times New Roman"/>
          <w:sz w:val="24"/>
          <w:szCs w:val="24"/>
        </w:rPr>
        <w:t xml:space="preserve">rominent </w:t>
      </w:r>
      <w:r w:rsidR="00856A34" w:rsidRPr="00163E56">
        <w:rPr>
          <w:rFonts w:ascii="Times New Roman" w:hAnsi="Times New Roman" w:cs="Times New Roman"/>
          <w:sz w:val="24"/>
          <w:szCs w:val="24"/>
        </w:rPr>
        <w:t xml:space="preserve">corporate and political leaders and large institutional investors </w:t>
      </w:r>
      <w:r w:rsidR="00B330FF">
        <w:rPr>
          <w:rFonts w:ascii="Times New Roman" w:hAnsi="Times New Roman" w:cs="Times New Roman"/>
          <w:sz w:val="24"/>
          <w:szCs w:val="24"/>
        </w:rPr>
        <w:t xml:space="preserve">have added their voices </w:t>
      </w:r>
      <w:r w:rsidR="00B330FF">
        <w:rPr>
          <w:rFonts w:ascii="Times New Roman" w:hAnsi="Times New Roman" w:cs="Times New Roman"/>
          <w:sz w:val="24"/>
          <w:szCs w:val="24"/>
        </w:rPr>
        <w:lastRenderedPageBreak/>
        <w:t>to those of these scholars</w:t>
      </w:r>
      <w:r w:rsidR="0095692E">
        <w:rPr>
          <w:rFonts w:ascii="Times New Roman" w:hAnsi="Times New Roman" w:cs="Times New Roman"/>
          <w:sz w:val="24"/>
          <w:szCs w:val="24"/>
        </w:rPr>
        <w:t>,</w:t>
      </w:r>
      <w:r w:rsidR="00B330FF">
        <w:rPr>
          <w:rFonts w:ascii="Times New Roman" w:hAnsi="Times New Roman" w:cs="Times New Roman"/>
          <w:sz w:val="24"/>
          <w:szCs w:val="24"/>
        </w:rPr>
        <w:t xml:space="preserve"> </w:t>
      </w:r>
      <w:r w:rsidR="00856A34" w:rsidRPr="00163E56">
        <w:rPr>
          <w:rFonts w:ascii="Times New Roman" w:hAnsi="Times New Roman" w:cs="Times New Roman"/>
          <w:sz w:val="24"/>
          <w:szCs w:val="24"/>
        </w:rPr>
        <w:t xml:space="preserve">also </w:t>
      </w:r>
      <w:r w:rsidR="0095692E">
        <w:rPr>
          <w:rFonts w:ascii="Times New Roman" w:hAnsi="Times New Roman" w:cs="Times New Roman"/>
          <w:sz w:val="24"/>
          <w:szCs w:val="24"/>
        </w:rPr>
        <w:t xml:space="preserve">calling for </w:t>
      </w:r>
      <w:r w:rsidR="00856A34" w:rsidRPr="00163E56">
        <w:rPr>
          <w:rFonts w:ascii="Times New Roman" w:hAnsi="Times New Roman" w:cs="Times New Roman"/>
          <w:sz w:val="24"/>
          <w:szCs w:val="24"/>
        </w:rPr>
        <w:t>corporations to adopt a</w:t>
      </w:r>
      <w:r w:rsidR="00B330FF">
        <w:rPr>
          <w:rFonts w:ascii="Times New Roman" w:hAnsi="Times New Roman" w:cs="Times New Roman"/>
          <w:sz w:val="24"/>
          <w:szCs w:val="24"/>
        </w:rPr>
        <w:t>n</w:t>
      </w:r>
      <w:r w:rsidR="00856A34" w:rsidRPr="00163E56">
        <w:rPr>
          <w:rFonts w:ascii="Times New Roman" w:hAnsi="Times New Roman" w:cs="Times New Roman"/>
          <w:sz w:val="24"/>
          <w:szCs w:val="24"/>
        </w:rPr>
        <w:t xml:space="preserve"> </w:t>
      </w:r>
      <w:r w:rsidR="00B330FF">
        <w:rPr>
          <w:rFonts w:ascii="Times New Roman" w:hAnsi="Times New Roman" w:cs="Times New Roman"/>
          <w:sz w:val="24"/>
          <w:szCs w:val="24"/>
        </w:rPr>
        <w:t xml:space="preserve">alternative ends </w:t>
      </w:r>
      <w:r w:rsidR="00856A34" w:rsidRPr="00163E56">
        <w:rPr>
          <w:rFonts w:ascii="Times New Roman" w:hAnsi="Times New Roman" w:cs="Times New Roman"/>
          <w:sz w:val="24"/>
          <w:szCs w:val="24"/>
        </w:rPr>
        <w:t>approach</w:t>
      </w:r>
      <w:r w:rsidR="00B330FF">
        <w:rPr>
          <w:rFonts w:ascii="Times New Roman" w:hAnsi="Times New Roman" w:cs="Times New Roman"/>
          <w:sz w:val="24"/>
          <w:szCs w:val="24"/>
        </w:rPr>
        <w:t>, although it is unclear how much is serious and how much just lip service to what has become a popular idea</w:t>
      </w:r>
      <w:r w:rsidR="00856A34" w:rsidRPr="00163E56">
        <w:rPr>
          <w:rFonts w:ascii="Times New Roman" w:hAnsi="Times New Roman" w:cs="Times New Roman"/>
          <w:sz w:val="24"/>
          <w:szCs w:val="24"/>
        </w:rPr>
        <w:t>.</w:t>
      </w:r>
      <w:r w:rsidR="007E640A">
        <w:rPr>
          <w:rFonts w:ascii="Times New Roman" w:hAnsi="Times New Roman" w:cs="Times New Roman"/>
          <w:sz w:val="24"/>
          <w:szCs w:val="24"/>
        </w:rPr>
        <w:t xml:space="preserve">  </w:t>
      </w:r>
      <w:r w:rsidR="00856A34" w:rsidRPr="00624515">
        <w:rPr>
          <w:rFonts w:ascii="Times New Roman" w:hAnsi="Times New Roman" w:cs="Times New Roman"/>
          <w:sz w:val="24"/>
          <w:szCs w:val="24"/>
        </w:rPr>
        <w:t xml:space="preserve">Perhaps the </w:t>
      </w:r>
      <w:r w:rsidR="00856A34">
        <w:rPr>
          <w:rFonts w:ascii="Times New Roman" w:hAnsi="Times New Roman" w:cs="Times New Roman"/>
          <w:sz w:val="24"/>
          <w:szCs w:val="24"/>
        </w:rPr>
        <w:t xml:space="preserve">most well-known </w:t>
      </w:r>
      <w:r w:rsidR="00856A34" w:rsidRPr="00624515">
        <w:rPr>
          <w:rFonts w:ascii="Times New Roman" w:hAnsi="Times New Roman" w:cs="Times New Roman"/>
          <w:sz w:val="24"/>
          <w:szCs w:val="24"/>
        </w:rPr>
        <w:t xml:space="preserve">example is the </w:t>
      </w:r>
      <w:r w:rsidR="0095692E">
        <w:rPr>
          <w:rFonts w:ascii="Times New Roman" w:hAnsi="Times New Roman" w:cs="Times New Roman"/>
          <w:sz w:val="24"/>
          <w:szCs w:val="24"/>
        </w:rPr>
        <w:t>since-</w:t>
      </w:r>
      <w:r w:rsidR="005F424C">
        <w:rPr>
          <w:rFonts w:ascii="Times New Roman" w:hAnsi="Times New Roman" w:cs="Times New Roman"/>
          <w:sz w:val="24"/>
          <w:szCs w:val="24"/>
        </w:rPr>
        <w:t xml:space="preserve">qualified </w:t>
      </w:r>
      <w:r w:rsidR="00856A34" w:rsidRPr="00624515">
        <w:rPr>
          <w:rFonts w:ascii="Times New Roman" w:hAnsi="Times New Roman" w:cs="Times New Roman"/>
          <w:sz w:val="24"/>
          <w:szCs w:val="24"/>
        </w:rPr>
        <w:t>2019 statement of the Business Roundtable, in which a consortium of 181 CEOs of leading corporations announced that they support a stakeholder theory of corporate purpose.</w:t>
      </w:r>
      <w:r w:rsidR="00856A34" w:rsidRPr="00163E56">
        <w:rPr>
          <w:rStyle w:val="FootnoteReference"/>
          <w:rFonts w:ascii="Times New Roman" w:hAnsi="Times New Roman" w:cs="Times New Roman"/>
          <w:sz w:val="24"/>
          <w:szCs w:val="24"/>
        </w:rPr>
        <w:footnoteReference w:id="126"/>
      </w:r>
      <w:r w:rsidR="00434565">
        <w:rPr>
          <w:rFonts w:ascii="Times New Roman" w:hAnsi="Times New Roman" w:cs="Times New Roman"/>
          <w:sz w:val="24"/>
          <w:szCs w:val="24"/>
        </w:rPr>
        <w:t xml:space="preserve"> </w:t>
      </w:r>
    </w:p>
    <w:p w14:paraId="77AFD6F0" w14:textId="32A1C180" w:rsidR="00434565" w:rsidRDefault="00434565" w:rsidP="00D370C8">
      <w:pPr>
        <w:pStyle w:val="ListParagraph"/>
        <w:numPr>
          <w:ilvl w:val="0"/>
          <w:numId w:val="48"/>
        </w:numPr>
        <w:spacing w:after="0" w:line="240" w:lineRule="auto"/>
        <w:ind w:right="90"/>
        <w:jc w:val="center"/>
        <w:rPr>
          <w:rFonts w:cs="Times New Roman"/>
          <w:i/>
          <w:iCs/>
          <w:sz w:val="24"/>
          <w:szCs w:val="24"/>
        </w:rPr>
      </w:pPr>
      <w:r>
        <w:rPr>
          <w:rFonts w:cs="Times New Roman"/>
          <w:i/>
          <w:iCs/>
          <w:sz w:val="24"/>
          <w:szCs w:val="24"/>
        </w:rPr>
        <w:t xml:space="preserve">The Likelihood of Organic Change Absent a </w:t>
      </w:r>
      <w:r w:rsidR="006F1644">
        <w:rPr>
          <w:rFonts w:cs="Times New Roman"/>
          <w:i/>
          <w:iCs/>
          <w:sz w:val="24"/>
          <w:szCs w:val="24"/>
        </w:rPr>
        <w:t>Fundamental</w:t>
      </w:r>
      <w:r>
        <w:rPr>
          <w:rFonts w:cs="Times New Roman"/>
          <w:i/>
          <w:iCs/>
          <w:sz w:val="24"/>
          <w:szCs w:val="24"/>
        </w:rPr>
        <w:t xml:space="preserve"> Alteration in Existing Corporate Governance Arrangements</w:t>
      </w:r>
    </w:p>
    <w:p w14:paraId="49A7F9CD" w14:textId="5FB391F6" w:rsidR="00434565" w:rsidRPr="006472DC" w:rsidRDefault="00434565" w:rsidP="00F44B90">
      <w:pPr>
        <w:pStyle w:val="ListParagraph"/>
        <w:spacing w:after="0" w:line="240" w:lineRule="auto"/>
        <w:ind w:left="1080" w:right="90"/>
        <w:jc w:val="center"/>
        <w:rPr>
          <w:rFonts w:cs="Times New Roman"/>
          <w:i/>
          <w:iCs/>
          <w:sz w:val="24"/>
          <w:szCs w:val="24"/>
        </w:rPr>
      </w:pPr>
    </w:p>
    <w:p w14:paraId="135596F3" w14:textId="62ECA62A" w:rsidR="00434565" w:rsidRDefault="00F87C16">
      <w:pPr>
        <w:spacing w:after="0" w:line="480" w:lineRule="auto"/>
        <w:ind w:right="90" w:firstLine="720"/>
        <w:jc w:val="both"/>
        <w:rPr>
          <w:rFonts w:ascii="Times New Roman" w:hAnsi="Times New Roman" w:cs="Times New Roman"/>
          <w:sz w:val="24"/>
          <w:szCs w:val="24"/>
        </w:rPr>
      </w:pPr>
      <w:r>
        <w:rPr>
          <w:rFonts w:ascii="Times New Roman" w:hAnsi="Times New Roman" w:cs="Times New Roman"/>
          <w:sz w:val="24"/>
          <w:szCs w:val="24"/>
        </w:rPr>
        <w:t>Let us p</w:t>
      </w:r>
      <w:r w:rsidR="00434565">
        <w:rPr>
          <w:rFonts w:ascii="Times New Roman" w:hAnsi="Times New Roman" w:cs="Times New Roman"/>
          <w:sz w:val="24"/>
          <w:szCs w:val="24"/>
        </w:rPr>
        <w:t xml:space="preserve">ut aside for </w:t>
      </w:r>
      <w:r w:rsidR="001D331D">
        <w:rPr>
          <w:rFonts w:ascii="Times New Roman" w:hAnsi="Times New Roman" w:cs="Times New Roman"/>
          <w:sz w:val="24"/>
          <w:szCs w:val="24"/>
        </w:rPr>
        <w:t xml:space="preserve">now </w:t>
      </w:r>
      <w:r w:rsidR="00434565">
        <w:rPr>
          <w:rFonts w:ascii="Times New Roman" w:hAnsi="Times New Roman" w:cs="Times New Roman"/>
          <w:sz w:val="24"/>
          <w:szCs w:val="24"/>
        </w:rPr>
        <w:t xml:space="preserve">whether an alternative ends approach to corporate </w:t>
      </w:r>
      <w:r w:rsidR="001D331D">
        <w:rPr>
          <w:rFonts w:ascii="Times New Roman" w:hAnsi="Times New Roman" w:cs="Times New Roman"/>
          <w:sz w:val="24"/>
          <w:szCs w:val="24"/>
        </w:rPr>
        <w:t xml:space="preserve">purpose is desirable </w:t>
      </w:r>
      <w:r>
        <w:rPr>
          <w:rFonts w:ascii="Times New Roman" w:hAnsi="Times New Roman" w:cs="Times New Roman"/>
          <w:sz w:val="24"/>
          <w:szCs w:val="24"/>
        </w:rPr>
        <w:t xml:space="preserve">and address the question of </w:t>
      </w:r>
      <w:r w:rsidR="001D331D">
        <w:rPr>
          <w:rFonts w:ascii="Times New Roman" w:hAnsi="Times New Roman" w:cs="Times New Roman"/>
          <w:sz w:val="24"/>
          <w:szCs w:val="24"/>
        </w:rPr>
        <w:t>implementation</w:t>
      </w:r>
      <w:r w:rsidR="00434565">
        <w:rPr>
          <w:rFonts w:ascii="Times New Roman" w:hAnsi="Times New Roman" w:cs="Times New Roman"/>
          <w:sz w:val="24"/>
          <w:szCs w:val="24"/>
        </w:rPr>
        <w:t xml:space="preserve">. </w:t>
      </w:r>
      <w:r w:rsidR="001D331D">
        <w:rPr>
          <w:rFonts w:ascii="Times New Roman" w:hAnsi="Times New Roman" w:cs="Times New Roman"/>
          <w:sz w:val="24"/>
          <w:szCs w:val="24"/>
        </w:rPr>
        <w:t xml:space="preserve"> </w:t>
      </w:r>
      <w:r>
        <w:rPr>
          <w:rFonts w:ascii="Times New Roman" w:hAnsi="Times New Roman" w:cs="Times New Roman"/>
          <w:sz w:val="24"/>
          <w:szCs w:val="24"/>
        </w:rPr>
        <w:t xml:space="preserve">It is reasonable to assume that </w:t>
      </w:r>
      <w:r w:rsidR="00434565">
        <w:rPr>
          <w:rFonts w:ascii="Times New Roman" w:hAnsi="Times New Roman" w:cs="Times New Roman"/>
          <w:kern w:val="0"/>
          <w:sz w:val="24"/>
          <w:szCs w:val="24"/>
          <w14:ligatures w14:val="none"/>
        </w:rPr>
        <w:t xml:space="preserve">a significant portion of the economy’s equity investors would, if fully informed, prefer </w:t>
      </w:r>
      <w:r w:rsidR="00FE437E">
        <w:rPr>
          <w:rFonts w:ascii="Times New Roman" w:hAnsi="Times New Roman" w:cs="Times New Roman"/>
          <w:kern w:val="0"/>
          <w:sz w:val="24"/>
          <w:szCs w:val="24"/>
          <w14:ligatures w14:val="none"/>
        </w:rPr>
        <w:t xml:space="preserve">that corporations at least to some extent adopt an alternative ends approach </w:t>
      </w:r>
      <w:r>
        <w:rPr>
          <w:rFonts w:ascii="Times New Roman" w:hAnsi="Times New Roman" w:cs="Times New Roman"/>
          <w:kern w:val="0"/>
          <w:sz w:val="24"/>
          <w:szCs w:val="24"/>
          <w14:ligatures w14:val="none"/>
        </w:rPr>
        <w:t>given current constraints</w:t>
      </w:r>
      <w:r w:rsidR="001D331D">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 xml:space="preserve">  </w:t>
      </w:r>
      <w:r w:rsidR="001D331D">
        <w:rPr>
          <w:rFonts w:ascii="Times New Roman" w:hAnsi="Times New Roman" w:cs="Times New Roman"/>
          <w:kern w:val="0"/>
          <w:sz w:val="24"/>
          <w:szCs w:val="24"/>
          <w14:ligatures w14:val="none"/>
        </w:rPr>
        <w:t xml:space="preserve">Assume for a moment that there are no changes in </w:t>
      </w:r>
      <w:r w:rsidR="001D331D">
        <w:rPr>
          <w:rFonts w:ascii="Times New Roman" w:hAnsi="Times New Roman" w:cs="Times New Roman"/>
          <w:sz w:val="24"/>
          <w:szCs w:val="24"/>
        </w:rPr>
        <w:t xml:space="preserve">corporate law, with shareholders being the only voters for directors and specific business decisions being the exclusive province of directors and managers. </w:t>
      </w:r>
      <w:r>
        <w:rPr>
          <w:rFonts w:ascii="Times New Roman" w:hAnsi="Times New Roman" w:cs="Times New Roman"/>
          <w:kern w:val="0"/>
          <w:sz w:val="24"/>
          <w:szCs w:val="24"/>
          <w14:ligatures w14:val="none"/>
        </w:rPr>
        <w:t xml:space="preserve">How likely is it </w:t>
      </w:r>
      <w:r w:rsidR="00434565">
        <w:rPr>
          <w:rFonts w:ascii="Times New Roman" w:hAnsi="Times New Roman" w:cs="Times New Roman"/>
          <w:kern w:val="0"/>
          <w:sz w:val="24"/>
          <w:szCs w:val="24"/>
          <w14:ligatures w14:val="none"/>
        </w:rPr>
        <w:t>that th</w:t>
      </w:r>
      <w:r>
        <w:rPr>
          <w:rFonts w:ascii="Times New Roman" w:hAnsi="Times New Roman" w:cs="Times New Roman"/>
          <w:kern w:val="0"/>
          <w:sz w:val="24"/>
          <w:szCs w:val="24"/>
          <w14:ligatures w14:val="none"/>
        </w:rPr>
        <w:t xml:space="preserve">e presence of these </w:t>
      </w:r>
      <w:r w:rsidR="001D331D">
        <w:rPr>
          <w:rFonts w:ascii="Times New Roman" w:hAnsi="Times New Roman" w:cs="Times New Roman"/>
          <w:kern w:val="0"/>
          <w:sz w:val="24"/>
          <w:szCs w:val="24"/>
          <w14:ligatures w14:val="none"/>
        </w:rPr>
        <w:t xml:space="preserve">(perhaps only </w:t>
      </w:r>
      <w:r>
        <w:rPr>
          <w:rFonts w:ascii="Times New Roman" w:hAnsi="Times New Roman" w:cs="Times New Roman"/>
          <w:kern w:val="0"/>
          <w:sz w:val="24"/>
          <w:szCs w:val="24"/>
          <w14:ligatures w14:val="none"/>
        </w:rPr>
        <w:t>incipient</w:t>
      </w:r>
      <w:r w:rsidR="001D331D">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 xml:space="preserve"> </w:t>
      </w:r>
      <w:r w:rsidR="001D331D">
        <w:rPr>
          <w:rFonts w:ascii="Times New Roman" w:hAnsi="Times New Roman" w:cs="Times New Roman"/>
          <w:kern w:val="0"/>
          <w:sz w:val="24"/>
          <w:szCs w:val="24"/>
          <w14:ligatures w14:val="none"/>
        </w:rPr>
        <w:t xml:space="preserve">shareholder </w:t>
      </w:r>
      <w:r>
        <w:rPr>
          <w:rFonts w:ascii="Times New Roman" w:hAnsi="Times New Roman" w:cs="Times New Roman"/>
          <w:kern w:val="0"/>
          <w:sz w:val="24"/>
          <w:szCs w:val="24"/>
          <w14:ligatures w14:val="none"/>
        </w:rPr>
        <w:t xml:space="preserve">preferences </w:t>
      </w:r>
      <w:r w:rsidR="00434565">
        <w:rPr>
          <w:rFonts w:ascii="Times New Roman" w:hAnsi="Times New Roman" w:cs="Times New Roman"/>
          <w:kern w:val="0"/>
          <w:sz w:val="24"/>
          <w:szCs w:val="24"/>
          <w14:ligatures w14:val="none"/>
        </w:rPr>
        <w:t>will organically lead to major changes in corporate behavior</w:t>
      </w:r>
      <w:r w:rsidR="001D331D">
        <w:rPr>
          <w:rFonts w:ascii="Times New Roman" w:hAnsi="Times New Roman" w:cs="Times New Roman"/>
          <w:kern w:val="0"/>
          <w:sz w:val="24"/>
          <w:szCs w:val="24"/>
          <w14:ligatures w14:val="none"/>
        </w:rPr>
        <w:t xml:space="preserve">? </w:t>
      </w:r>
      <w:r w:rsidR="0049476E">
        <w:rPr>
          <w:rFonts w:ascii="Times New Roman" w:hAnsi="Times New Roman" w:cs="Times New Roman"/>
          <w:sz w:val="24"/>
          <w:szCs w:val="24"/>
        </w:rPr>
        <w:t xml:space="preserve"> </w:t>
      </w:r>
      <w:r w:rsidR="00434565">
        <w:rPr>
          <w:rFonts w:ascii="Times New Roman" w:hAnsi="Times New Roman" w:cs="Times New Roman"/>
          <w:sz w:val="24"/>
          <w:szCs w:val="24"/>
        </w:rPr>
        <w:t xml:space="preserve">In other words, </w:t>
      </w:r>
      <w:r w:rsidR="006F1644">
        <w:rPr>
          <w:rFonts w:ascii="Times New Roman" w:hAnsi="Times New Roman" w:cs="Times New Roman"/>
          <w:sz w:val="24"/>
          <w:szCs w:val="24"/>
        </w:rPr>
        <w:t>is it likely that</w:t>
      </w:r>
      <w:r w:rsidR="00434565">
        <w:rPr>
          <w:rFonts w:ascii="Times New Roman" w:hAnsi="Times New Roman" w:cs="Times New Roman"/>
          <w:sz w:val="24"/>
          <w:szCs w:val="24"/>
        </w:rPr>
        <w:t xml:space="preserve"> </w:t>
      </w:r>
      <w:r w:rsidR="001D331D">
        <w:rPr>
          <w:rFonts w:ascii="Times New Roman" w:hAnsi="Times New Roman" w:cs="Times New Roman"/>
          <w:sz w:val="24"/>
          <w:szCs w:val="24"/>
        </w:rPr>
        <w:t xml:space="preserve">an alternative ends approach to corporate purpose </w:t>
      </w:r>
      <w:r w:rsidR="006F1644">
        <w:rPr>
          <w:rFonts w:ascii="Times New Roman" w:hAnsi="Times New Roman" w:cs="Times New Roman"/>
          <w:sz w:val="24"/>
          <w:szCs w:val="24"/>
        </w:rPr>
        <w:t xml:space="preserve">will </w:t>
      </w:r>
      <w:r w:rsidR="00434565">
        <w:rPr>
          <w:rFonts w:ascii="Times New Roman" w:hAnsi="Times New Roman" w:cs="Times New Roman"/>
          <w:sz w:val="24"/>
          <w:szCs w:val="24"/>
        </w:rPr>
        <w:t xml:space="preserve">arise simply through private ordering?  </w:t>
      </w:r>
    </w:p>
    <w:p w14:paraId="558C9F46" w14:textId="5E4AA340" w:rsidR="00434565" w:rsidRDefault="0049476E" w:rsidP="00434565">
      <w:pPr>
        <w:spacing w:after="0" w:line="480" w:lineRule="auto"/>
        <w:ind w:right="90"/>
        <w:jc w:val="both"/>
        <w:rPr>
          <w:rFonts w:ascii="Times New Roman" w:hAnsi="Times New Roman" w:cs="Times New Roman"/>
          <w:sz w:val="24"/>
          <w:szCs w:val="24"/>
        </w:rPr>
      </w:pPr>
      <w:r>
        <w:rPr>
          <w:rFonts w:ascii="Times New Roman" w:hAnsi="Times New Roman" w:cs="Times New Roman"/>
          <w:sz w:val="24"/>
          <w:szCs w:val="24"/>
        </w:rPr>
        <w:tab/>
      </w:r>
      <w:r w:rsidR="00434565">
        <w:rPr>
          <w:rFonts w:ascii="Times New Roman" w:hAnsi="Times New Roman" w:cs="Times New Roman"/>
          <w:sz w:val="24"/>
          <w:szCs w:val="24"/>
        </w:rPr>
        <w:t xml:space="preserve">While there are exceptions, the </w:t>
      </w:r>
      <w:r>
        <w:rPr>
          <w:rFonts w:ascii="Times New Roman" w:hAnsi="Times New Roman" w:cs="Times New Roman"/>
          <w:sz w:val="24"/>
          <w:szCs w:val="24"/>
        </w:rPr>
        <w:t xml:space="preserve">corporate law </w:t>
      </w:r>
      <w:r w:rsidR="00434565">
        <w:rPr>
          <w:rFonts w:ascii="Times New Roman" w:hAnsi="Times New Roman" w:cs="Times New Roman"/>
          <w:sz w:val="24"/>
          <w:szCs w:val="24"/>
        </w:rPr>
        <w:t xml:space="preserve">literature </w:t>
      </w:r>
      <w:r w:rsidR="001D331D">
        <w:rPr>
          <w:rFonts w:ascii="Times New Roman" w:hAnsi="Times New Roman" w:cs="Times New Roman"/>
          <w:sz w:val="24"/>
          <w:szCs w:val="24"/>
        </w:rPr>
        <w:t xml:space="preserve">concerning the purpose debate </w:t>
      </w:r>
      <w:r>
        <w:rPr>
          <w:rFonts w:ascii="Times New Roman" w:hAnsi="Times New Roman" w:cs="Times New Roman"/>
          <w:sz w:val="24"/>
          <w:szCs w:val="24"/>
        </w:rPr>
        <w:t xml:space="preserve">has </w:t>
      </w:r>
      <w:r w:rsidR="00434565">
        <w:rPr>
          <w:rFonts w:ascii="Times New Roman" w:hAnsi="Times New Roman" w:cs="Times New Roman"/>
          <w:sz w:val="24"/>
          <w:szCs w:val="24"/>
        </w:rPr>
        <w:t>largely avoided engaging with this adoption question and instead focused attention on critiquing and evaluating the various competing visions of corporate purpose. Th</w:t>
      </w:r>
      <w:r w:rsidR="001D331D">
        <w:rPr>
          <w:rFonts w:ascii="Times New Roman" w:hAnsi="Times New Roman" w:cs="Times New Roman"/>
          <w:sz w:val="24"/>
          <w:szCs w:val="24"/>
        </w:rPr>
        <w:t>is</w:t>
      </w:r>
      <w:r w:rsidR="00434565">
        <w:rPr>
          <w:rFonts w:ascii="Times New Roman" w:hAnsi="Times New Roman" w:cs="Times New Roman"/>
          <w:sz w:val="24"/>
          <w:szCs w:val="24"/>
        </w:rPr>
        <w:t xml:space="preserve"> blind spot is noteworthy </w:t>
      </w:r>
      <w:r w:rsidR="00434565">
        <w:rPr>
          <w:rFonts w:ascii="Times New Roman" w:hAnsi="Times New Roman" w:cs="Times New Roman"/>
          <w:sz w:val="24"/>
          <w:szCs w:val="24"/>
        </w:rPr>
        <w:lastRenderedPageBreak/>
        <w:t xml:space="preserve">given the amount of significant attention the corporate purpose question </w:t>
      </w:r>
      <w:r>
        <w:rPr>
          <w:rFonts w:ascii="Times New Roman" w:hAnsi="Times New Roman" w:cs="Times New Roman"/>
          <w:sz w:val="24"/>
          <w:szCs w:val="24"/>
        </w:rPr>
        <w:t xml:space="preserve">has been </w:t>
      </w:r>
      <w:r w:rsidR="00434565">
        <w:rPr>
          <w:rFonts w:ascii="Times New Roman" w:hAnsi="Times New Roman" w:cs="Times New Roman"/>
          <w:sz w:val="24"/>
          <w:szCs w:val="24"/>
        </w:rPr>
        <w:t>receiv</w:t>
      </w:r>
      <w:r>
        <w:rPr>
          <w:rFonts w:ascii="Times New Roman" w:hAnsi="Times New Roman" w:cs="Times New Roman"/>
          <w:sz w:val="24"/>
          <w:szCs w:val="24"/>
        </w:rPr>
        <w:t>ing</w:t>
      </w:r>
      <w:r w:rsidR="00434565">
        <w:rPr>
          <w:rFonts w:ascii="Times New Roman" w:hAnsi="Times New Roman" w:cs="Times New Roman"/>
          <w:sz w:val="24"/>
          <w:szCs w:val="24"/>
        </w:rPr>
        <w:t xml:space="preserve"> in the academic literature</w:t>
      </w:r>
      <w:r>
        <w:rPr>
          <w:rFonts w:ascii="Times New Roman" w:hAnsi="Times New Roman" w:cs="Times New Roman"/>
          <w:sz w:val="24"/>
          <w:szCs w:val="24"/>
        </w:rPr>
        <w:t>.</w:t>
      </w:r>
      <w:r w:rsidR="00434565">
        <w:rPr>
          <w:rFonts w:ascii="Times New Roman" w:hAnsi="Times New Roman" w:cs="Times New Roman"/>
          <w:sz w:val="24"/>
          <w:szCs w:val="24"/>
        </w:rPr>
        <w:t xml:space="preserve"> </w:t>
      </w:r>
    </w:p>
    <w:p w14:paraId="0EC726B6" w14:textId="634F2EA6" w:rsidR="00434565" w:rsidRDefault="00434565" w:rsidP="00434565">
      <w:pPr>
        <w:spacing w:after="0" w:line="480" w:lineRule="auto"/>
        <w:ind w:right="90" w:firstLine="720"/>
        <w:jc w:val="both"/>
        <w:rPr>
          <w:rFonts w:ascii="Times New Roman" w:hAnsi="Times New Roman" w:cs="Times New Roman"/>
          <w:sz w:val="24"/>
          <w:szCs w:val="24"/>
        </w:rPr>
      </w:pPr>
      <w:r>
        <w:rPr>
          <w:rFonts w:ascii="Times New Roman" w:hAnsi="Times New Roman" w:cs="Times New Roman"/>
          <w:sz w:val="24"/>
          <w:szCs w:val="24"/>
        </w:rPr>
        <w:t>A leading exception is the work by Lucian Bebchuk and Robert</w:t>
      </w:r>
      <w:r w:rsidR="00225F4A">
        <w:rPr>
          <w:rFonts w:ascii="Times New Roman" w:hAnsi="Times New Roman" w:cs="Times New Roman"/>
          <w:sz w:val="24"/>
          <w:szCs w:val="24"/>
        </w:rPr>
        <w:t>o</w:t>
      </w:r>
      <w:r>
        <w:rPr>
          <w:rFonts w:ascii="Times New Roman" w:hAnsi="Times New Roman" w:cs="Times New Roman"/>
          <w:sz w:val="24"/>
          <w:szCs w:val="24"/>
        </w:rPr>
        <w:t xml:space="preserve"> Tallarita.</w:t>
      </w:r>
      <w:bookmarkStart w:id="32" w:name="_Ref180747413"/>
      <w:r>
        <w:rPr>
          <w:rStyle w:val="FootnoteReference"/>
          <w:rFonts w:ascii="Times New Roman" w:hAnsi="Times New Roman" w:cs="Times New Roman"/>
          <w:sz w:val="24"/>
          <w:szCs w:val="24"/>
        </w:rPr>
        <w:footnoteReference w:id="127"/>
      </w:r>
      <w:bookmarkEnd w:id="32"/>
      <w:r>
        <w:rPr>
          <w:rFonts w:ascii="Times New Roman" w:hAnsi="Times New Roman" w:cs="Times New Roman"/>
          <w:sz w:val="24"/>
          <w:szCs w:val="24"/>
        </w:rPr>
        <w:t xml:space="preserve"> In their article, Be</w:t>
      </w:r>
      <w:r w:rsidR="00225F4A">
        <w:rPr>
          <w:rFonts w:ascii="Times New Roman" w:hAnsi="Times New Roman" w:cs="Times New Roman"/>
          <w:sz w:val="24"/>
          <w:szCs w:val="24"/>
        </w:rPr>
        <w:t>b</w:t>
      </w:r>
      <w:r>
        <w:rPr>
          <w:rFonts w:ascii="Times New Roman" w:hAnsi="Times New Roman" w:cs="Times New Roman"/>
          <w:sz w:val="24"/>
          <w:szCs w:val="24"/>
        </w:rPr>
        <w:t>c</w:t>
      </w:r>
      <w:r w:rsidR="00225F4A">
        <w:rPr>
          <w:rFonts w:ascii="Times New Roman" w:hAnsi="Times New Roman" w:cs="Times New Roman"/>
          <w:sz w:val="24"/>
          <w:szCs w:val="24"/>
        </w:rPr>
        <w:t>h</w:t>
      </w:r>
      <w:r>
        <w:rPr>
          <w:rFonts w:ascii="Times New Roman" w:hAnsi="Times New Roman" w:cs="Times New Roman"/>
          <w:sz w:val="24"/>
          <w:szCs w:val="24"/>
        </w:rPr>
        <w:t xml:space="preserve">uk and Tallarita evaluate the adoption question by focusing on managerial incentives and analyze whether the </w:t>
      </w:r>
      <w:r w:rsidRPr="005E3083">
        <w:rPr>
          <w:rFonts w:ascii="Times New Roman" w:hAnsi="Times New Roman" w:cs="Times New Roman"/>
          <w:sz w:val="24"/>
          <w:szCs w:val="24"/>
        </w:rPr>
        <w:t>prevailing corporate governance structure</w:t>
      </w:r>
      <w:r>
        <w:rPr>
          <w:rFonts w:ascii="Times New Roman" w:hAnsi="Times New Roman" w:cs="Times New Roman"/>
          <w:sz w:val="24"/>
          <w:szCs w:val="24"/>
        </w:rPr>
        <w:t xml:space="preserve"> incentivizes managers to adopt a stakeholder approach to corporate purpose.  Bebchuk and Tallarita answer in the negative, concluding managers operating within the prevailing managerial incentive structure do not have meaningful incentives to adopt stakeholderism.</w:t>
      </w:r>
      <w:r>
        <w:rPr>
          <w:rStyle w:val="FootnoteReference"/>
          <w:rFonts w:ascii="Times New Roman" w:hAnsi="Times New Roman" w:cs="Times New Roman"/>
          <w:sz w:val="24"/>
          <w:szCs w:val="24"/>
        </w:rPr>
        <w:footnoteReference w:id="128"/>
      </w:r>
      <w:r>
        <w:rPr>
          <w:rFonts w:ascii="Times New Roman" w:hAnsi="Times New Roman" w:cs="Times New Roman"/>
          <w:sz w:val="24"/>
          <w:szCs w:val="24"/>
        </w:rPr>
        <w:t xml:space="preserve">  Bebhcuk and Tallarita therefore show that the current managerial incentive scheme firmly embeds shareholder primacy as the corporate objective.</w:t>
      </w:r>
    </w:p>
    <w:p w14:paraId="0924C546" w14:textId="38C583B4" w:rsidR="00434565" w:rsidRDefault="00434565" w:rsidP="00434565">
      <w:pPr>
        <w:spacing w:after="0" w:line="480" w:lineRule="auto"/>
        <w:ind w:right="90" w:firstLine="720"/>
        <w:jc w:val="both"/>
        <w:rPr>
          <w:rFonts w:ascii="Times New Roman" w:hAnsi="Times New Roman" w:cs="Times New Roman"/>
          <w:sz w:val="24"/>
          <w:szCs w:val="24"/>
        </w:rPr>
      </w:pPr>
      <w:r>
        <w:rPr>
          <w:rFonts w:ascii="Times New Roman" w:hAnsi="Times New Roman" w:cs="Times New Roman"/>
          <w:sz w:val="24"/>
          <w:szCs w:val="24"/>
        </w:rPr>
        <w:t>Bebchuk and Tallarita’s approach of evaluating the adoption question by focusing on corporate managers and their incentives is the analytically appropriate first step given the centrality of managers to corporate decision-making</w:t>
      </w:r>
      <w:r w:rsidR="0049476E">
        <w:rPr>
          <w:rFonts w:ascii="Times New Roman" w:hAnsi="Times New Roman" w:cs="Times New Roman"/>
          <w:sz w:val="24"/>
          <w:szCs w:val="24"/>
        </w:rPr>
        <w:t xml:space="preserve">.  This </w:t>
      </w:r>
      <w:r w:rsidR="001D331D">
        <w:rPr>
          <w:rFonts w:ascii="Times New Roman" w:hAnsi="Times New Roman" w:cs="Times New Roman"/>
          <w:sz w:val="24"/>
          <w:szCs w:val="24"/>
        </w:rPr>
        <w:t xml:space="preserve">focus </w:t>
      </w:r>
      <w:r w:rsidR="0049476E">
        <w:rPr>
          <w:rFonts w:ascii="Times New Roman" w:hAnsi="Times New Roman" w:cs="Times New Roman"/>
          <w:sz w:val="24"/>
          <w:szCs w:val="24"/>
        </w:rPr>
        <w:t>is particularly valuable given that</w:t>
      </w:r>
      <w:r>
        <w:rPr>
          <w:rFonts w:ascii="Times New Roman" w:hAnsi="Times New Roman" w:cs="Times New Roman"/>
          <w:sz w:val="24"/>
          <w:szCs w:val="24"/>
        </w:rPr>
        <w:t xml:space="preserve"> much of the corporate governance literature concerning </w:t>
      </w:r>
      <w:r w:rsidR="0049476E">
        <w:rPr>
          <w:rFonts w:ascii="Times New Roman" w:hAnsi="Times New Roman" w:cs="Times New Roman"/>
          <w:sz w:val="24"/>
          <w:szCs w:val="24"/>
        </w:rPr>
        <w:t xml:space="preserve">the alternative ends approach to </w:t>
      </w:r>
      <w:r w:rsidR="001720E6">
        <w:rPr>
          <w:rFonts w:ascii="Times New Roman" w:hAnsi="Times New Roman" w:cs="Times New Roman"/>
          <w:sz w:val="24"/>
          <w:szCs w:val="24"/>
        </w:rPr>
        <w:t xml:space="preserve">the </w:t>
      </w:r>
      <w:r>
        <w:rPr>
          <w:rFonts w:ascii="Times New Roman" w:hAnsi="Times New Roman" w:cs="Times New Roman"/>
          <w:sz w:val="24"/>
          <w:szCs w:val="24"/>
        </w:rPr>
        <w:t xml:space="preserve">corporate purpose </w:t>
      </w:r>
      <w:r w:rsidR="00216A5B">
        <w:rPr>
          <w:rFonts w:ascii="Times New Roman" w:hAnsi="Times New Roman" w:cs="Times New Roman"/>
          <w:sz w:val="24"/>
          <w:szCs w:val="24"/>
        </w:rPr>
        <w:t xml:space="preserve">largely </w:t>
      </w:r>
      <w:r>
        <w:rPr>
          <w:rFonts w:ascii="Times New Roman" w:hAnsi="Times New Roman" w:cs="Times New Roman"/>
          <w:sz w:val="24"/>
          <w:szCs w:val="24"/>
        </w:rPr>
        <w:t xml:space="preserve">assumes away or disregards managerial incentives. But Bebchuk and Tallarita’s analysis </w:t>
      </w:r>
      <w:r w:rsidR="00225F4A">
        <w:rPr>
          <w:rFonts w:ascii="Times New Roman" w:hAnsi="Times New Roman" w:cs="Times New Roman"/>
          <w:sz w:val="24"/>
          <w:szCs w:val="24"/>
        </w:rPr>
        <w:t>does not</w:t>
      </w:r>
      <w:r w:rsidR="00216A5B">
        <w:rPr>
          <w:rFonts w:ascii="Times New Roman" w:hAnsi="Times New Roman" w:cs="Times New Roman"/>
          <w:sz w:val="24"/>
          <w:szCs w:val="24"/>
        </w:rPr>
        <w:t xml:space="preserve"> consider how the chances of corporations adopting an alternative ends approach to their corporate purpose is affected by the likely reality </w:t>
      </w:r>
      <w:r w:rsidR="001D331D">
        <w:rPr>
          <w:rFonts w:ascii="Times New Roman" w:hAnsi="Times New Roman" w:cs="Times New Roman"/>
          <w:sz w:val="24"/>
          <w:szCs w:val="24"/>
        </w:rPr>
        <w:t xml:space="preserve">that </w:t>
      </w:r>
      <w:r>
        <w:rPr>
          <w:rFonts w:ascii="Times New Roman" w:hAnsi="Times New Roman" w:cs="Times New Roman"/>
          <w:sz w:val="24"/>
          <w:szCs w:val="24"/>
        </w:rPr>
        <w:t>a</w:t>
      </w:r>
      <w:r w:rsidR="00216A5B">
        <w:rPr>
          <w:rFonts w:ascii="Times New Roman" w:hAnsi="Times New Roman" w:cs="Times New Roman"/>
          <w:sz w:val="24"/>
          <w:szCs w:val="24"/>
        </w:rPr>
        <w:t xml:space="preserve"> significant</w:t>
      </w:r>
      <w:r>
        <w:rPr>
          <w:rFonts w:ascii="Times New Roman" w:hAnsi="Times New Roman" w:cs="Times New Roman"/>
          <w:sz w:val="24"/>
          <w:szCs w:val="24"/>
        </w:rPr>
        <w:t xml:space="preserve"> portion of the economy’s </w:t>
      </w:r>
      <w:r w:rsidR="00216A5B">
        <w:rPr>
          <w:rFonts w:ascii="Times New Roman" w:hAnsi="Times New Roman" w:cs="Times New Roman"/>
          <w:sz w:val="24"/>
          <w:szCs w:val="24"/>
        </w:rPr>
        <w:t xml:space="preserve">equity </w:t>
      </w:r>
      <w:r>
        <w:rPr>
          <w:rFonts w:ascii="Times New Roman" w:hAnsi="Times New Roman" w:cs="Times New Roman"/>
          <w:sz w:val="24"/>
          <w:szCs w:val="24"/>
        </w:rPr>
        <w:t xml:space="preserve">investors </w:t>
      </w:r>
      <w:r w:rsidR="00216A5B">
        <w:rPr>
          <w:rFonts w:ascii="Times New Roman" w:hAnsi="Times New Roman" w:cs="Times New Roman"/>
          <w:sz w:val="24"/>
          <w:szCs w:val="24"/>
        </w:rPr>
        <w:t xml:space="preserve">would, if fully informed, </w:t>
      </w:r>
      <w:r w:rsidR="001D331D">
        <w:rPr>
          <w:rFonts w:ascii="Times New Roman" w:hAnsi="Times New Roman" w:cs="Times New Roman"/>
          <w:sz w:val="24"/>
          <w:szCs w:val="24"/>
        </w:rPr>
        <w:t xml:space="preserve">prefer </w:t>
      </w:r>
      <w:r w:rsidR="00216A5B">
        <w:rPr>
          <w:rFonts w:ascii="Times New Roman" w:hAnsi="Times New Roman" w:cs="Times New Roman"/>
          <w:sz w:val="24"/>
          <w:szCs w:val="24"/>
        </w:rPr>
        <w:t xml:space="preserve">some meaningful deviations </w:t>
      </w:r>
      <w:r w:rsidR="00216A5B">
        <w:rPr>
          <w:rFonts w:ascii="Times New Roman" w:hAnsi="Times New Roman" w:cs="Times New Roman"/>
          <w:sz w:val="24"/>
          <w:szCs w:val="24"/>
        </w:rPr>
        <w:lastRenderedPageBreak/>
        <w:t>from share value maximization in furtherance of other ends. I</w:t>
      </w:r>
      <w:r>
        <w:rPr>
          <w:rFonts w:ascii="Times New Roman" w:hAnsi="Times New Roman" w:cs="Times New Roman"/>
          <w:sz w:val="24"/>
          <w:szCs w:val="24"/>
        </w:rPr>
        <w:t xml:space="preserve">n other words, </w:t>
      </w:r>
      <w:r w:rsidR="001D331D">
        <w:rPr>
          <w:rFonts w:ascii="Times New Roman" w:hAnsi="Times New Roman" w:cs="Times New Roman"/>
          <w:sz w:val="24"/>
          <w:szCs w:val="24"/>
        </w:rPr>
        <w:t>the</w:t>
      </w:r>
      <w:r>
        <w:rPr>
          <w:rFonts w:ascii="Times New Roman" w:hAnsi="Times New Roman" w:cs="Times New Roman"/>
          <w:sz w:val="24"/>
          <w:szCs w:val="24"/>
        </w:rPr>
        <w:t xml:space="preserve"> more complete articulation of the adoption question is, holding fixed current </w:t>
      </w:r>
      <w:r w:rsidR="00216A5B">
        <w:rPr>
          <w:rFonts w:ascii="Times New Roman" w:hAnsi="Times New Roman" w:cs="Times New Roman"/>
          <w:sz w:val="24"/>
          <w:szCs w:val="24"/>
        </w:rPr>
        <w:t xml:space="preserve">corporate </w:t>
      </w:r>
      <w:r>
        <w:rPr>
          <w:rFonts w:ascii="Times New Roman" w:hAnsi="Times New Roman" w:cs="Times New Roman"/>
          <w:sz w:val="24"/>
          <w:szCs w:val="24"/>
        </w:rPr>
        <w:t>la</w:t>
      </w:r>
      <w:r w:rsidR="00216A5B">
        <w:rPr>
          <w:rFonts w:ascii="Times New Roman" w:hAnsi="Times New Roman" w:cs="Times New Roman"/>
          <w:sz w:val="24"/>
          <w:szCs w:val="24"/>
        </w:rPr>
        <w:t xml:space="preserve">w, can we expect corporations to </w:t>
      </w:r>
      <w:r w:rsidR="00D03B6E">
        <w:rPr>
          <w:rFonts w:ascii="Times New Roman" w:hAnsi="Times New Roman" w:cs="Times New Roman"/>
          <w:sz w:val="24"/>
          <w:szCs w:val="24"/>
        </w:rPr>
        <w:t xml:space="preserve">deviate in these ways. </w:t>
      </w:r>
      <w:r>
        <w:rPr>
          <w:rFonts w:ascii="Times New Roman" w:hAnsi="Times New Roman" w:cs="Times New Roman"/>
          <w:sz w:val="24"/>
          <w:szCs w:val="24"/>
        </w:rPr>
        <w:t xml:space="preserve"> </w:t>
      </w:r>
    </w:p>
    <w:p w14:paraId="62B0C7E6" w14:textId="6865565C" w:rsidR="00434565" w:rsidRDefault="00434565" w:rsidP="00434565">
      <w:pPr>
        <w:spacing w:after="0" w:line="480" w:lineRule="auto"/>
        <w:ind w:right="90" w:firstLine="720"/>
        <w:jc w:val="both"/>
        <w:rPr>
          <w:rFonts w:ascii="Times New Roman" w:hAnsi="Times New Roman" w:cs="Times New Roman"/>
          <w:sz w:val="24"/>
          <w:szCs w:val="24"/>
        </w:rPr>
      </w:pPr>
      <w:r>
        <w:rPr>
          <w:rFonts w:ascii="Times New Roman" w:hAnsi="Times New Roman" w:cs="Times New Roman"/>
          <w:sz w:val="24"/>
          <w:szCs w:val="24"/>
        </w:rPr>
        <w:t xml:space="preserve">Parts I, II, and III above provide a negative response to this more complete articulation of the adoption question, buttressing the conclusion of Bebchuk and Tallarita that stakeholderism will not organically displace shareholder primacy. </w:t>
      </w:r>
      <w:r w:rsidR="001D331D">
        <w:rPr>
          <w:rFonts w:ascii="Times New Roman" w:hAnsi="Times New Roman" w:cs="Times New Roman"/>
          <w:sz w:val="24"/>
          <w:szCs w:val="24"/>
        </w:rPr>
        <w:t xml:space="preserve">Our point </w:t>
      </w:r>
      <w:r w:rsidR="00D03B6E">
        <w:rPr>
          <w:rFonts w:ascii="Times New Roman" w:hAnsi="Times New Roman" w:cs="Times New Roman"/>
          <w:sz w:val="24"/>
          <w:szCs w:val="24"/>
        </w:rPr>
        <w:t xml:space="preserve">can be illustrated </w:t>
      </w:r>
      <w:r>
        <w:rPr>
          <w:rFonts w:ascii="Times New Roman" w:hAnsi="Times New Roman" w:cs="Times New Roman"/>
          <w:sz w:val="24"/>
          <w:szCs w:val="24"/>
        </w:rPr>
        <w:t>through a simple stylized example. Consider a simple economy where all firms produce the same product but half the firms are polluters</w:t>
      </w:r>
      <w:r w:rsidR="006F1644">
        <w:rPr>
          <w:rFonts w:ascii="Times New Roman" w:hAnsi="Times New Roman" w:cs="Times New Roman"/>
          <w:sz w:val="24"/>
          <w:szCs w:val="24"/>
        </w:rPr>
        <w:t>,</w:t>
      </w:r>
      <w:r>
        <w:rPr>
          <w:rFonts w:ascii="Times New Roman" w:hAnsi="Times New Roman" w:cs="Times New Roman"/>
          <w:sz w:val="24"/>
          <w:szCs w:val="24"/>
        </w:rPr>
        <w:t xml:space="preserve"> and th</w:t>
      </w:r>
      <w:r w:rsidR="001D331D">
        <w:rPr>
          <w:rFonts w:ascii="Times New Roman" w:hAnsi="Times New Roman" w:cs="Times New Roman"/>
          <w:sz w:val="24"/>
          <w:szCs w:val="24"/>
        </w:rPr>
        <w:t>e</w:t>
      </w:r>
      <w:r w:rsidR="00225F4A">
        <w:rPr>
          <w:rFonts w:ascii="Times New Roman" w:hAnsi="Times New Roman" w:cs="Times New Roman"/>
          <w:sz w:val="24"/>
          <w:szCs w:val="24"/>
        </w:rPr>
        <w:t xml:space="preserve"> other</w:t>
      </w:r>
      <w:r w:rsidR="001D331D">
        <w:rPr>
          <w:rFonts w:ascii="Times New Roman" w:hAnsi="Times New Roman" w:cs="Times New Roman"/>
          <w:sz w:val="24"/>
          <w:szCs w:val="24"/>
        </w:rPr>
        <w:t xml:space="preserve"> half</w:t>
      </w:r>
      <w:r>
        <w:rPr>
          <w:rFonts w:ascii="Times New Roman" w:hAnsi="Times New Roman" w:cs="Times New Roman"/>
          <w:sz w:val="24"/>
          <w:szCs w:val="24"/>
        </w:rPr>
        <w:t xml:space="preserve"> are non-polluters because</w:t>
      </w:r>
      <w:r w:rsidR="006F1644">
        <w:rPr>
          <w:rFonts w:ascii="Times New Roman" w:hAnsi="Times New Roman" w:cs="Times New Roman"/>
          <w:sz w:val="24"/>
          <w:szCs w:val="24"/>
        </w:rPr>
        <w:t>,</w:t>
      </w:r>
      <w:r>
        <w:rPr>
          <w:rFonts w:ascii="Times New Roman" w:hAnsi="Times New Roman" w:cs="Times New Roman"/>
          <w:sz w:val="24"/>
          <w:szCs w:val="24"/>
        </w:rPr>
        <w:t xml:space="preserve"> some years back, they incurred a one-time fixed cost to pay for a costly technology that enabled them to produce without polluting. </w:t>
      </w:r>
      <w:r w:rsidR="00D03B6E">
        <w:rPr>
          <w:rFonts w:ascii="Times New Roman" w:hAnsi="Times New Roman" w:cs="Times New Roman"/>
          <w:sz w:val="24"/>
          <w:szCs w:val="24"/>
        </w:rPr>
        <w:t xml:space="preserve"> </w:t>
      </w:r>
      <w:r>
        <w:rPr>
          <w:rFonts w:ascii="Times New Roman" w:hAnsi="Times New Roman" w:cs="Times New Roman"/>
          <w:sz w:val="24"/>
          <w:szCs w:val="24"/>
        </w:rPr>
        <w:t>Suppose that all firms have adopted a shareholder primacy perspective and that all investors are purely profit-minded.</w:t>
      </w:r>
      <w:r w:rsidRPr="00AD7288">
        <w:rPr>
          <w:rFonts w:ascii="Times New Roman" w:hAnsi="Times New Roman" w:cs="Times New Roman"/>
          <w:sz w:val="24"/>
          <w:szCs w:val="24"/>
        </w:rPr>
        <w:t xml:space="preserve"> </w:t>
      </w:r>
      <w:r>
        <w:rPr>
          <w:rFonts w:ascii="Times New Roman" w:hAnsi="Times New Roman" w:cs="Times New Roman"/>
          <w:sz w:val="24"/>
          <w:szCs w:val="24"/>
        </w:rPr>
        <w:t>The polluting firms could pay for the technology that would allow them to produce without polluting</w:t>
      </w:r>
      <w:r w:rsidR="001D331D">
        <w:rPr>
          <w:rFonts w:ascii="Times New Roman" w:hAnsi="Times New Roman" w:cs="Times New Roman"/>
          <w:sz w:val="24"/>
          <w:szCs w:val="24"/>
        </w:rPr>
        <w:t>,</w:t>
      </w:r>
      <w:r>
        <w:rPr>
          <w:rFonts w:ascii="Times New Roman" w:hAnsi="Times New Roman" w:cs="Times New Roman"/>
          <w:sz w:val="24"/>
          <w:szCs w:val="24"/>
        </w:rPr>
        <w:t xml:space="preserve"> but have chosen not to because it would decrease their profits.  </w:t>
      </w:r>
    </w:p>
    <w:p w14:paraId="32F1A89C" w14:textId="76C5F848" w:rsidR="00434565" w:rsidRDefault="00434565" w:rsidP="00434565">
      <w:pPr>
        <w:spacing w:after="0" w:line="480" w:lineRule="auto"/>
        <w:ind w:right="90" w:firstLine="720"/>
        <w:jc w:val="both"/>
        <w:rPr>
          <w:rFonts w:ascii="Times New Roman" w:hAnsi="Times New Roman" w:cs="Times New Roman"/>
          <w:sz w:val="24"/>
          <w:szCs w:val="24"/>
        </w:rPr>
      </w:pPr>
      <w:r>
        <w:rPr>
          <w:rFonts w:ascii="Times New Roman" w:hAnsi="Times New Roman" w:cs="Times New Roman"/>
          <w:sz w:val="24"/>
          <w:szCs w:val="24"/>
        </w:rPr>
        <w:t xml:space="preserve">Now, suppose that a portion of the economy’s </w:t>
      </w:r>
      <w:r w:rsidR="00F84ED4">
        <w:rPr>
          <w:rFonts w:ascii="Times New Roman" w:hAnsi="Times New Roman" w:cs="Times New Roman"/>
          <w:sz w:val="24"/>
          <w:szCs w:val="24"/>
        </w:rPr>
        <w:t xml:space="preserve">equity </w:t>
      </w:r>
      <w:r>
        <w:rPr>
          <w:rFonts w:ascii="Times New Roman" w:hAnsi="Times New Roman" w:cs="Times New Roman"/>
          <w:sz w:val="24"/>
          <w:szCs w:val="24"/>
        </w:rPr>
        <w:t xml:space="preserve">investors </w:t>
      </w:r>
      <w:r w:rsidR="00F84ED4">
        <w:rPr>
          <w:rFonts w:ascii="Times New Roman" w:hAnsi="Times New Roman" w:cs="Times New Roman"/>
          <w:sz w:val="24"/>
          <w:szCs w:val="24"/>
        </w:rPr>
        <w:t xml:space="preserve">become more sensitive to social issues and abandon their pure profit-minded preferences. To the extent that they are aware of the harm to the downstream residents and the costs to the polluting companies of remedying the problem, they would want the polluting firms to stop doing so even though it would diminish profits. </w:t>
      </w:r>
      <w:r>
        <w:rPr>
          <w:rFonts w:ascii="Times New Roman" w:hAnsi="Times New Roman" w:cs="Times New Roman"/>
          <w:sz w:val="24"/>
          <w:szCs w:val="24"/>
        </w:rPr>
        <w:t>So, in terms of the typology in Part I, the economy now includes both profit maximizers and profit sacrificers, where the profit sacrificers</w:t>
      </w:r>
      <w:r w:rsidR="006F1644">
        <w:rPr>
          <w:rFonts w:ascii="Times New Roman" w:hAnsi="Times New Roman" w:cs="Times New Roman"/>
          <w:sz w:val="24"/>
          <w:szCs w:val="24"/>
        </w:rPr>
        <w:t>, if fully informed, would</w:t>
      </w:r>
      <w:r>
        <w:rPr>
          <w:rFonts w:ascii="Times New Roman" w:hAnsi="Times New Roman" w:cs="Times New Roman"/>
          <w:sz w:val="24"/>
          <w:szCs w:val="24"/>
        </w:rPr>
        <w:t xml:space="preserve"> want firms to </w:t>
      </w:r>
      <w:r w:rsidR="00A21F91">
        <w:rPr>
          <w:rFonts w:ascii="Times New Roman" w:hAnsi="Times New Roman" w:cs="Times New Roman"/>
          <w:sz w:val="24"/>
          <w:szCs w:val="24"/>
        </w:rPr>
        <w:t>deviate from unconstrained</w:t>
      </w:r>
      <w:r>
        <w:rPr>
          <w:rFonts w:ascii="Times New Roman" w:hAnsi="Times New Roman" w:cs="Times New Roman"/>
          <w:sz w:val="24"/>
          <w:szCs w:val="24"/>
        </w:rPr>
        <w:t xml:space="preserve"> share value maximization when that objective imposes </w:t>
      </w:r>
      <w:r w:rsidR="00A21F91">
        <w:rPr>
          <w:rFonts w:ascii="Times New Roman" w:hAnsi="Times New Roman" w:cs="Times New Roman"/>
          <w:sz w:val="24"/>
          <w:szCs w:val="24"/>
        </w:rPr>
        <w:t>this</w:t>
      </w:r>
      <w:r>
        <w:rPr>
          <w:rFonts w:ascii="Times New Roman" w:hAnsi="Times New Roman" w:cs="Times New Roman"/>
          <w:sz w:val="24"/>
          <w:szCs w:val="24"/>
        </w:rPr>
        <w:t xml:space="preserve"> external cost on others. </w:t>
      </w:r>
    </w:p>
    <w:p w14:paraId="51E0F235" w14:textId="0C641451" w:rsidR="00150232" w:rsidRDefault="00434565" w:rsidP="00434565">
      <w:pPr>
        <w:spacing w:after="0" w:line="480" w:lineRule="auto"/>
        <w:ind w:right="90" w:firstLine="720"/>
        <w:jc w:val="both"/>
        <w:rPr>
          <w:rFonts w:ascii="Times New Roman" w:hAnsi="Times New Roman" w:cs="Times New Roman"/>
          <w:sz w:val="24"/>
          <w:szCs w:val="24"/>
        </w:rPr>
      </w:pPr>
      <w:r>
        <w:rPr>
          <w:rFonts w:ascii="Times New Roman" w:hAnsi="Times New Roman" w:cs="Times New Roman"/>
          <w:sz w:val="24"/>
          <w:szCs w:val="24"/>
        </w:rPr>
        <w:t xml:space="preserve">The analysis in Part II predicts that, holding firms’ shareholders bases as fixed, the fact that some investors </w:t>
      </w:r>
      <w:r w:rsidR="0078152E">
        <w:rPr>
          <w:rFonts w:ascii="Times New Roman" w:hAnsi="Times New Roman" w:cs="Times New Roman"/>
          <w:sz w:val="24"/>
          <w:szCs w:val="24"/>
        </w:rPr>
        <w:t>would</w:t>
      </w:r>
      <w:r w:rsidR="006F1644">
        <w:rPr>
          <w:rFonts w:ascii="Times New Roman" w:hAnsi="Times New Roman" w:cs="Times New Roman"/>
          <w:sz w:val="24"/>
          <w:szCs w:val="24"/>
        </w:rPr>
        <w:t>,</w:t>
      </w:r>
      <w:r w:rsidR="0078152E">
        <w:rPr>
          <w:rFonts w:ascii="Times New Roman" w:hAnsi="Times New Roman" w:cs="Times New Roman"/>
          <w:sz w:val="24"/>
          <w:szCs w:val="24"/>
        </w:rPr>
        <w:t xml:space="preserve"> if informed</w:t>
      </w:r>
      <w:r w:rsidR="006F1644">
        <w:rPr>
          <w:rFonts w:ascii="Times New Roman" w:hAnsi="Times New Roman" w:cs="Times New Roman"/>
          <w:sz w:val="24"/>
          <w:szCs w:val="24"/>
        </w:rPr>
        <w:t>,</w:t>
      </w:r>
      <w:r w:rsidR="0078152E">
        <w:rPr>
          <w:rFonts w:ascii="Times New Roman" w:hAnsi="Times New Roman" w:cs="Times New Roman"/>
          <w:sz w:val="24"/>
          <w:szCs w:val="24"/>
        </w:rPr>
        <w:t xml:space="preserve"> </w:t>
      </w:r>
      <w:r>
        <w:rPr>
          <w:rFonts w:ascii="Times New Roman" w:hAnsi="Times New Roman" w:cs="Times New Roman"/>
          <w:sz w:val="24"/>
          <w:szCs w:val="24"/>
        </w:rPr>
        <w:t xml:space="preserve">want </w:t>
      </w:r>
      <w:r w:rsidR="00F84ED4">
        <w:rPr>
          <w:rFonts w:ascii="Times New Roman" w:hAnsi="Times New Roman" w:cs="Times New Roman"/>
          <w:sz w:val="24"/>
          <w:szCs w:val="24"/>
        </w:rPr>
        <w:t>th</w:t>
      </w:r>
      <w:r w:rsidR="0078152E">
        <w:rPr>
          <w:rFonts w:ascii="Times New Roman" w:hAnsi="Times New Roman" w:cs="Times New Roman"/>
          <w:sz w:val="24"/>
          <w:szCs w:val="24"/>
        </w:rPr>
        <w:t xml:space="preserve">e polluting firms to change </w:t>
      </w:r>
      <w:r>
        <w:rPr>
          <w:rFonts w:ascii="Times New Roman" w:hAnsi="Times New Roman" w:cs="Times New Roman"/>
          <w:sz w:val="24"/>
          <w:szCs w:val="24"/>
        </w:rPr>
        <w:t xml:space="preserve">will not, by itself, </w:t>
      </w:r>
      <w:r>
        <w:rPr>
          <w:rFonts w:ascii="Times New Roman" w:hAnsi="Times New Roman" w:cs="Times New Roman"/>
          <w:sz w:val="24"/>
          <w:szCs w:val="24"/>
        </w:rPr>
        <w:lastRenderedPageBreak/>
        <w:t xml:space="preserve">cause firms to adopt that vision of corporate purpose. </w:t>
      </w:r>
      <w:r w:rsidR="008A6317">
        <w:rPr>
          <w:rFonts w:ascii="Times New Roman" w:hAnsi="Times New Roman" w:cs="Times New Roman"/>
          <w:sz w:val="24"/>
          <w:szCs w:val="24"/>
        </w:rPr>
        <w:t xml:space="preserve"> The </w:t>
      </w:r>
      <w:r w:rsidR="00D64895">
        <w:rPr>
          <w:rFonts w:ascii="Times New Roman" w:hAnsi="Times New Roman" w:cs="Times New Roman"/>
          <w:sz w:val="24"/>
          <w:szCs w:val="24"/>
        </w:rPr>
        <w:t>p</w:t>
      </w:r>
      <w:r>
        <w:rPr>
          <w:rFonts w:ascii="Times New Roman" w:hAnsi="Times New Roman" w:cs="Times New Roman"/>
          <w:sz w:val="24"/>
          <w:szCs w:val="24"/>
        </w:rPr>
        <w:t xml:space="preserve">rofit sacrificing shareholders </w:t>
      </w:r>
      <w:r w:rsidR="008A6317">
        <w:rPr>
          <w:rFonts w:ascii="Times New Roman" w:hAnsi="Times New Roman" w:cs="Times New Roman"/>
          <w:sz w:val="24"/>
          <w:szCs w:val="24"/>
        </w:rPr>
        <w:t xml:space="preserve">of each polluting firm </w:t>
      </w:r>
      <w:r w:rsidR="00A21F91">
        <w:rPr>
          <w:rFonts w:ascii="Times New Roman" w:hAnsi="Times New Roman" w:cs="Times New Roman"/>
          <w:sz w:val="24"/>
          <w:szCs w:val="24"/>
        </w:rPr>
        <w:t>would</w:t>
      </w:r>
      <w:r w:rsidR="0078152E">
        <w:rPr>
          <w:rFonts w:ascii="Times New Roman" w:hAnsi="Times New Roman" w:cs="Times New Roman"/>
          <w:sz w:val="24"/>
          <w:szCs w:val="24"/>
        </w:rPr>
        <w:t>,</w:t>
      </w:r>
      <w:r w:rsidR="00A21F91">
        <w:rPr>
          <w:rFonts w:ascii="Times New Roman" w:hAnsi="Times New Roman" w:cs="Times New Roman"/>
          <w:sz w:val="24"/>
          <w:szCs w:val="24"/>
        </w:rPr>
        <w:t xml:space="preserve"> to the extent </w:t>
      </w:r>
      <w:r w:rsidR="0078152E">
        <w:rPr>
          <w:rFonts w:ascii="Times New Roman" w:hAnsi="Times New Roman" w:cs="Times New Roman"/>
          <w:sz w:val="24"/>
          <w:szCs w:val="24"/>
        </w:rPr>
        <w:t xml:space="preserve">they are </w:t>
      </w:r>
      <w:r w:rsidR="00A21F91">
        <w:rPr>
          <w:rFonts w:ascii="Times New Roman" w:hAnsi="Times New Roman" w:cs="Times New Roman"/>
          <w:sz w:val="24"/>
          <w:szCs w:val="24"/>
        </w:rPr>
        <w:t>informed</w:t>
      </w:r>
      <w:r w:rsidR="0078152E">
        <w:rPr>
          <w:rFonts w:ascii="Times New Roman" w:hAnsi="Times New Roman" w:cs="Times New Roman"/>
          <w:sz w:val="24"/>
          <w:szCs w:val="24"/>
        </w:rPr>
        <w:t>,</w:t>
      </w:r>
      <w:r w:rsidR="00A21F91">
        <w:rPr>
          <w:rFonts w:ascii="Times New Roman" w:hAnsi="Times New Roman" w:cs="Times New Roman"/>
          <w:sz w:val="24"/>
          <w:szCs w:val="24"/>
        </w:rPr>
        <w:t xml:space="preserve"> </w:t>
      </w:r>
      <w:r>
        <w:rPr>
          <w:rFonts w:ascii="Times New Roman" w:hAnsi="Times New Roman" w:cs="Times New Roman"/>
          <w:sz w:val="24"/>
          <w:szCs w:val="24"/>
        </w:rPr>
        <w:t xml:space="preserve">want the firm to </w:t>
      </w:r>
      <w:r w:rsidR="0078152E">
        <w:rPr>
          <w:rFonts w:ascii="Times New Roman" w:hAnsi="Times New Roman" w:cs="Times New Roman"/>
          <w:sz w:val="24"/>
          <w:szCs w:val="24"/>
        </w:rPr>
        <w:t xml:space="preserve">stop polluting while </w:t>
      </w:r>
      <w:r>
        <w:rPr>
          <w:rFonts w:ascii="Times New Roman" w:hAnsi="Times New Roman" w:cs="Times New Roman"/>
          <w:sz w:val="24"/>
          <w:szCs w:val="24"/>
        </w:rPr>
        <w:t xml:space="preserve">its profit maximizing shareholders </w:t>
      </w:r>
      <w:r w:rsidR="0078152E">
        <w:rPr>
          <w:rFonts w:ascii="Times New Roman" w:hAnsi="Times New Roman" w:cs="Times New Roman"/>
          <w:sz w:val="24"/>
          <w:szCs w:val="24"/>
        </w:rPr>
        <w:t xml:space="preserve">would </w:t>
      </w:r>
      <w:r>
        <w:rPr>
          <w:rFonts w:ascii="Times New Roman" w:hAnsi="Times New Roman" w:cs="Times New Roman"/>
          <w:sz w:val="24"/>
          <w:szCs w:val="24"/>
        </w:rPr>
        <w:t xml:space="preserve">want the firm to continue to adhere to a shareholder primacy perspective. </w:t>
      </w:r>
      <w:r w:rsidR="00A21F91">
        <w:rPr>
          <w:rFonts w:ascii="Times New Roman" w:hAnsi="Times New Roman" w:cs="Times New Roman"/>
          <w:sz w:val="24"/>
          <w:szCs w:val="24"/>
        </w:rPr>
        <w:t xml:space="preserve"> The polluting company is likely to change only if, in the election of directors, the positions of the candidates on this issue become salient, enough of the socially oriented shareholders become aware of both the gains to the downstream residents</w:t>
      </w:r>
      <w:r w:rsidR="00B069E4">
        <w:rPr>
          <w:rFonts w:ascii="Times New Roman" w:hAnsi="Times New Roman" w:cs="Times New Roman"/>
          <w:sz w:val="24"/>
          <w:szCs w:val="24"/>
        </w:rPr>
        <w:t>,</w:t>
      </w:r>
      <w:r w:rsidR="00A21F91">
        <w:rPr>
          <w:rFonts w:ascii="Times New Roman" w:hAnsi="Times New Roman" w:cs="Times New Roman"/>
          <w:sz w:val="24"/>
          <w:szCs w:val="24"/>
        </w:rPr>
        <w:t xml:space="preserve"> and the costs to the company from a remedy</w:t>
      </w:r>
      <w:r w:rsidR="0078152E">
        <w:rPr>
          <w:rFonts w:ascii="Times New Roman" w:hAnsi="Times New Roman" w:cs="Times New Roman"/>
          <w:sz w:val="24"/>
          <w:szCs w:val="24"/>
        </w:rPr>
        <w:t xml:space="preserve"> and view the gains as worth the costs</w:t>
      </w:r>
      <w:r w:rsidR="00A21F91">
        <w:rPr>
          <w:rFonts w:ascii="Times New Roman" w:hAnsi="Times New Roman" w:cs="Times New Roman"/>
          <w:sz w:val="24"/>
          <w:szCs w:val="24"/>
        </w:rPr>
        <w:t xml:space="preserve">, and among all the issues relevant to choosing </w:t>
      </w:r>
      <w:r w:rsidR="0078152E">
        <w:rPr>
          <w:rFonts w:ascii="Times New Roman" w:hAnsi="Times New Roman" w:cs="Times New Roman"/>
          <w:sz w:val="24"/>
          <w:szCs w:val="24"/>
        </w:rPr>
        <w:t xml:space="preserve">for </w:t>
      </w:r>
      <w:r w:rsidR="00A21F91">
        <w:rPr>
          <w:rFonts w:ascii="Times New Roman" w:hAnsi="Times New Roman" w:cs="Times New Roman"/>
          <w:sz w:val="24"/>
          <w:szCs w:val="24"/>
        </w:rPr>
        <w:t>who</w:t>
      </w:r>
      <w:r w:rsidR="0078152E">
        <w:rPr>
          <w:rFonts w:ascii="Times New Roman" w:hAnsi="Times New Roman" w:cs="Times New Roman"/>
          <w:sz w:val="24"/>
          <w:szCs w:val="24"/>
        </w:rPr>
        <w:t>m</w:t>
      </w:r>
      <w:r w:rsidR="00A21F91">
        <w:rPr>
          <w:rFonts w:ascii="Times New Roman" w:hAnsi="Times New Roman" w:cs="Times New Roman"/>
          <w:sz w:val="24"/>
          <w:szCs w:val="24"/>
        </w:rPr>
        <w:t xml:space="preserve"> to vote</w:t>
      </w:r>
      <w:r w:rsidR="0078152E">
        <w:rPr>
          <w:rFonts w:ascii="Times New Roman" w:hAnsi="Times New Roman" w:cs="Times New Roman"/>
          <w:sz w:val="24"/>
          <w:szCs w:val="24"/>
        </w:rPr>
        <w:t>,</w:t>
      </w:r>
      <w:r w:rsidR="00A21F91">
        <w:rPr>
          <w:rFonts w:ascii="Times New Roman" w:hAnsi="Times New Roman" w:cs="Times New Roman"/>
          <w:sz w:val="24"/>
          <w:szCs w:val="24"/>
        </w:rPr>
        <w:t xml:space="preserve"> </w:t>
      </w:r>
      <w:r w:rsidR="0078152E">
        <w:rPr>
          <w:rFonts w:ascii="Times New Roman" w:hAnsi="Times New Roman" w:cs="Times New Roman"/>
          <w:sz w:val="24"/>
          <w:szCs w:val="24"/>
        </w:rPr>
        <w:t xml:space="preserve"> </w:t>
      </w:r>
      <w:r w:rsidR="00A21F91">
        <w:rPr>
          <w:rFonts w:ascii="Times New Roman" w:hAnsi="Times New Roman" w:cs="Times New Roman"/>
          <w:sz w:val="24"/>
          <w:szCs w:val="24"/>
        </w:rPr>
        <w:t xml:space="preserve">the pollution issue is for the socially minded shareholders decisive. </w:t>
      </w:r>
      <w:r>
        <w:rPr>
          <w:rFonts w:ascii="Times New Roman" w:hAnsi="Times New Roman" w:cs="Times New Roman"/>
          <w:sz w:val="24"/>
          <w:szCs w:val="24"/>
        </w:rPr>
        <w:t xml:space="preserve">For the reasons discussed in Part II, </w:t>
      </w:r>
      <w:r w:rsidR="00150232">
        <w:rPr>
          <w:rFonts w:ascii="Times New Roman" w:hAnsi="Times New Roman" w:cs="Times New Roman"/>
          <w:sz w:val="24"/>
          <w:szCs w:val="24"/>
        </w:rPr>
        <w:t xml:space="preserve">at least in real world versions of this story, it is unlikely that all of these conditions will be met.  </w:t>
      </w:r>
      <w:r w:rsidR="008A6317">
        <w:rPr>
          <w:rFonts w:ascii="Times New Roman" w:hAnsi="Times New Roman" w:cs="Times New Roman"/>
          <w:sz w:val="24"/>
          <w:szCs w:val="24"/>
        </w:rPr>
        <w:t>Moreover,</w:t>
      </w:r>
      <w:r w:rsidRPr="005E3083">
        <w:rPr>
          <w:rFonts w:ascii="Times New Roman" w:hAnsi="Times New Roman" w:cs="Times New Roman"/>
          <w:sz w:val="24"/>
          <w:szCs w:val="24"/>
        </w:rPr>
        <w:t xml:space="preserve"> the other elements of the prevailing corporate governance managerial incentive structure</w:t>
      </w:r>
      <w:r>
        <w:rPr>
          <w:rFonts w:ascii="Times New Roman" w:hAnsi="Times New Roman" w:cs="Times New Roman"/>
          <w:sz w:val="24"/>
          <w:szCs w:val="24"/>
        </w:rPr>
        <w:t xml:space="preserve"> can be expected to </w:t>
      </w:r>
      <w:r w:rsidR="00150232">
        <w:rPr>
          <w:rFonts w:ascii="Times New Roman" w:hAnsi="Times New Roman" w:cs="Times New Roman"/>
          <w:sz w:val="24"/>
          <w:szCs w:val="24"/>
        </w:rPr>
        <w:t xml:space="preserve">continue to </w:t>
      </w:r>
      <w:r>
        <w:rPr>
          <w:rFonts w:ascii="Times New Roman" w:hAnsi="Times New Roman" w:cs="Times New Roman"/>
          <w:sz w:val="24"/>
          <w:szCs w:val="24"/>
        </w:rPr>
        <w:t xml:space="preserve">incentivize </w:t>
      </w:r>
      <w:r w:rsidR="0078152E">
        <w:rPr>
          <w:rFonts w:ascii="Times New Roman" w:hAnsi="Times New Roman" w:cs="Times New Roman"/>
          <w:sz w:val="24"/>
          <w:szCs w:val="24"/>
        </w:rPr>
        <w:t xml:space="preserve">the polluting </w:t>
      </w:r>
      <w:r>
        <w:rPr>
          <w:rFonts w:ascii="Times New Roman" w:hAnsi="Times New Roman" w:cs="Times New Roman"/>
          <w:sz w:val="24"/>
          <w:szCs w:val="24"/>
        </w:rPr>
        <w:t>firm</w:t>
      </w:r>
      <w:r w:rsidR="0078152E">
        <w:rPr>
          <w:rFonts w:ascii="Times New Roman" w:hAnsi="Times New Roman" w:cs="Times New Roman"/>
          <w:sz w:val="24"/>
          <w:szCs w:val="24"/>
        </w:rPr>
        <w:t>’s</w:t>
      </w:r>
      <w:r>
        <w:rPr>
          <w:rFonts w:ascii="Times New Roman" w:hAnsi="Times New Roman" w:cs="Times New Roman"/>
          <w:sz w:val="24"/>
          <w:szCs w:val="24"/>
        </w:rPr>
        <w:t xml:space="preserve"> managers to </w:t>
      </w:r>
      <w:r w:rsidR="00150232">
        <w:rPr>
          <w:rFonts w:ascii="Times New Roman" w:hAnsi="Times New Roman" w:cs="Times New Roman"/>
          <w:sz w:val="24"/>
          <w:szCs w:val="24"/>
        </w:rPr>
        <w:t xml:space="preserve">not </w:t>
      </w:r>
      <w:r>
        <w:rPr>
          <w:rFonts w:ascii="Times New Roman" w:hAnsi="Times New Roman" w:cs="Times New Roman"/>
          <w:sz w:val="24"/>
          <w:szCs w:val="24"/>
        </w:rPr>
        <w:t>abandon share value maximization despite th</w:t>
      </w:r>
      <w:r w:rsidR="00150232">
        <w:rPr>
          <w:rFonts w:ascii="Times New Roman" w:hAnsi="Times New Roman" w:cs="Times New Roman"/>
          <w:sz w:val="24"/>
          <w:szCs w:val="24"/>
        </w:rPr>
        <w:t xml:space="preserve">is turn in the social mindedness of many of its shareholders.  </w:t>
      </w:r>
    </w:p>
    <w:p w14:paraId="7BDE2B48" w14:textId="70DC4C3F" w:rsidR="00434565" w:rsidRDefault="00B069E4" w:rsidP="00434565">
      <w:pPr>
        <w:spacing w:after="0" w:line="480" w:lineRule="auto"/>
        <w:ind w:right="90" w:firstLine="720"/>
        <w:jc w:val="both"/>
        <w:rPr>
          <w:rFonts w:ascii="Times New Roman" w:hAnsi="Times New Roman" w:cs="Times New Roman"/>
          <w:sz w:val="24"/>
          <w:szCs w:val="24"/>
        </w:rPr>
      </w:pPr>
      <w:r>
        <w:rPr>
          <w:rFonts w:ascii="Times New Roman" w:hAnsi="Times New Roman" w:cs="Times New Roman"/>
          <w:kern w:val="0"/>
          <w:sz w:val="24"/>
          <w:szCs w:val="24"/>
          <w14:ligatures w14:val="none"/>
        </w:rPr>
        <w:t xml:space="preserve">Suppose the </w:t>
      </w:r>
      <w:r w:rsidR="00434565">
        <w:rPr>
          <w:rFonts w:ascii="Times New Roman" w:hAnsi="Times New Roman" w:cs="Times New Roman"/>
          <w:kern w:val="0"/>
          <w:sz w:val="24"/>
          <w:szCs w:val="24"/>
          <w14:ligatures w14:val="none"/>
        </w:rPr>
        <w:t xml:space="preserve">corporate governance structure </w:t>
      </w:r>
      <w:r w:rsidR="008A21A1">
        <w:rPr>
          <w:rFonts w:ascii="Times New Roman" w:hAnsi="Times New Roman" w:cs="Times New Roman"/>
          <w:kern w:val="0"/>
          <w:sz w:val="24"/>
          <w:szCs w:val="24"/>
          <w14:ligatures w14:val="none"/>
        </w:rPr>
        <w:t xml:space="preserve">of these </w:t>
      </w:r>
      <w:r w:rsidR="0078152E">
        <w:rPr>
          <w:rFonts w:ascii="Times New Roman" w:hAnsi="Times New Roman" w:cs="Times New Roman"/>
          <w:kern w:val="0"/>
          <w:sz w:val="24"/>
          <w:szCs w:val="24"/>
          <w14:ligatures w14:val="none"/>
        </w:rPr>
        <w:t xml:space="preserve">polluting </w:t>
      </w:r>
      <w:r w:rsidR="008A21A1">
        <w:rPr>
          <w:rFonts w:ascii="Times New Roman" w:hAnsi="Times New Roman" w:cs="Times New Roman"/>
          <w:kern w:val="0"/>
          <w:sz w:val="24"/>
          <w:szCs w:val="24"/>
          <w14:ligatures w14:val="none"/>
        </w:rPr>
        <w:t xml:space="preserve">firms </w:t>
      </w:r>
      <w:r w:rsidR="00434565">
        <w:rPr>
          <w:rFonts w:ascii="Times New Roman" w:hAnsi="Times New Roman" w:cs="Times New Roman"/>
          <w:kern w:val="0"/>
          <w:sz w:val="24"/>
          <w:szCs w:val="24"/>
          <w14:ligatures w14:val="none"/>
        </w:rPr>
        <w:t xml:space="preserve">could </w:t>
      </w:r>
      <w:r w:rsidR="008A21A1">
        <w:rPr>
          <w:rFonts w:ascii="Times New Roman" w:hAnsi="Times New Roman" w:cs="Times New Roman"/>
          <w:kern w:val="0"/>
          <w:sz w:val="24"/>
          <w:szCs w:val="24"/>
          <w14:ligatures w14:val="none"/>
        </w:rPr>
        <w:t xml:space="preserve">each </w:t>
      </w:r>
      <w:r w:rsidR="00434565">
        <w:rPr>
          <w:rFonts w:ascii="Times New Roman" w:hAnsi="Times New Roman" w:cs="Times New Roman"/>
          <w:kern w:val="0"/>
          <w:sz w:val="24"/>
          <w:szCs w:val="24"/>
          <w14:ligatures w14:val="none"/>
        </w:rPr>
        <w:t xml:space="preserve">be changed so that </w:t>
      </w:r>
      <w:r w:rsidR="00150232">
        <w:rPr>
          <w:rFonts w:ascii="Times New Roman" w:hAnsi="Times New Roman" w:cs="Times New Roman"/>
          <w:kern w:val="0"/>
          <w:sz w:val="24"/>
          <w:szCs w:val="24"/>
          <w14:ligatures w14:val="none"/>
        </w:rPr>
        <w:t xml:space="preserve">shareholders could vote on individual business decisions, </w:t>
      </w:r>
      <w:r w:rsidR="0078152E">
        <w:rPr>
          <w:rFonts w:ascii="Times New Roman" w:hAnsi="Times New Roman" w:cs="Times New Roman"/>
          <w:kern w:val="0"/>
          <w:sz w:val="24"/>
          <w:szCs w:val="24"/>
          <w14:ligatures w14:val="none"/>
        </w:rPr>
        <w:t xml:space="preserve">an example of </w:t>
      </w:r>
      <w:r w:rsidR="00150232">
        <w:rPr>
          <w:rFonts w:ascii="Times New Roman" w:hAnsi="Times New Roman" w:cs="Times New Roman"/>
          <w:kern w:val="0"/>
          <w:sz w:val="24"/>
          <w:szCs w:val="24"/>
          <w14:ligatures w14:val="none"/>
        </w:rPr>
        <w:t xml:space="preserve">which would </w:t>
      </w:r>
      <w:r w:rsidR="0078152E">
        <w:rPr>
          <w:rFonts w:ascii="Times New Roman" w:hAnsi="Times New Roman" w:cs="Times New Roman"/>
          <w:kern w:val="0"/>
          <w:sz w:val="24"/>
          <w:szCs w:val="24"/>
          <w14:ligatures w14:val="none"/>
        </w:rPr>
        <w:t xml:space="preserve">be the decision to </w:t>
      </w:r>
      <w:r w:rsidR="00150232">
        <w:rPr>
          <w:rFonts w:ascii="Times New Roman" w:hAnsi="Times New Roman" w:cs="Times New Roman"/>
          <w:kern w:val="0"/>
          <w:sz w:val="24"/>
          <w:szCs w:val="24"/>
          <w14:ligatures w14:val="none"/>
        </w:rPr>
        <w:t xml:space="preserve">stop polluting.  This would increase the chance that </w:t>
      </w:r>
      <w:r w:rsidR="008A21A1">
        <w:rPr>
          <w:rFonts w:ascii="Times New Roman" w:hAnsi="Times New Roman" w:cs="Times New Roman"/>
          <w:kern w:val="0"/>
          <w:sz w:val="24"/>
          <w:szCs w:val="24"/>
          <w14:ligatures w14:val="none"/>
        </w:rPr>
        <w:t xml:space="preserve">any one firm’s </w:t>
      </w:r>
      <w:r w:rsidR="00150232">
        <w:rPr>
          <w:rFonts w:ascii="Times New Roman" w:hAnsi="Times New Roman" w:cs="Times New Roman"/>
          <w:kern w:val="0"/>
          <w:sz w:val="24"/>
          <w:szCs w:val="24"/>
          <w14:ligatures w14:val="none"/>
        </w:rPr>
        <w:t>behavior could be changed via the shareholder franchise, but there is no guarantee.  F</w:t>
      </w:r>
      <w:r w:rsidR="00434565">
        <w:rPr>
          <w:rFonts w:ascii="Times New Roman" w:hAnsi="Times New Roman" w:cs="Times New Roman"/>
          <w:kern w:val="0"/>
          <w:sz w:val="24"/>
          <w:szCs w:val="24"/>
          <w14:ligatures w14:val="none"/>
        </w:rPr>
        <w:t>or the reasons discussed in Part II, such a change may come at a high cost</w:t>
      </w:r>
      <w:r w:rsidR="008A21A1">
        <w:rPr>
          <w:rFonts w:ascii="Times New Roman" w:hAnsi="Times New Roman" w:cs="Times New Roman"/>
          <w:kern w:val="0"/>
          <w:sz w:val="24"/>
          <w:szCs w:val="24"/>
          <w14:ligatures w14:val="none"/>
        </w:rPr>
        <w:t>.</w:t>
      </w:r>
      <w:r w:rsidR="00434565">
        <w:rPr>
          <w:rFonts w:ascii="Times New Roman" w:hAnsi="Times New Roman" w:cs="Times New Roman"/>
          <w:kern w:val="0"/>
          <w:sz w:val="24"/>
          <w:szCs w:val="24"/>
          <w14:ligatures w14:val="none"/>
        </w:rPr>
        <w:t xml:space="preserve"> </w:t>
      </w:r>
      <w:r w:rsidR="008A21A1">
        <w:rPr>
          <w:rFonts w:ascii="Times New Roman" w:hAnsi="Times New Roman" w:cs="Times New Roman"/>
          <w:kern w:val="0"/>
          <w:sz w:val="24"/>
          <w:szCs w:val="24"/>
          <w14:ligatures w14:val="none"/>
        </w:rPr>
        <w:t xml:space="preserve">It would </w:t>
      </w:r>
      <w:r w:rsidR="00434565">
        <w:rPr>
          <w:rFonts w:ascii="Times New Roman" w:hAnsi="Times New Roman" w:cs="Times New Roman"/>
          <w:kern w:val="0"/>
          <w:sz w:val="24"/>
          <w:szCs w:val="24"/>
          <w14:ligatures w14:val="none"/>
        </w:rPr>
        <w:t>includ</w:t>
      </w:r>
      <w:r w:rsidR="008A21A1">
        <w:rPr>
          <w:rFonts w:ascii="Times New Roman" w:hAnsi="Times New Roman" w:cs="Times New Roman"/>
          <w:kern w:val="0"/>
          <w:sz w:val="24"/>
          <w:szCs w:val="24"/>
          <w14:ligatures w14:val="none"/>
        </w:rPr>
        <w:t>e</w:t>
      </w:r>
      <w:r w:rsidR="00150232">
        <w:rPr>
          <w:rFonts w:ascii="Times New Roman" w:hAnsi="Times New Roman" w:cs="Times New Roman"/>
          <w:kern w:val="0"/>
          <w:sz w:val="24"/>
          <w:szCs w:val="24"/>
          <w14:ligatures w14:val="none"/>
        </w:rPr>
        <w:t xml:space="preserve">, to assure managerial implementation of the shareholder will, a softening of the sticks and carrots of the managerial decision structure </w:t>
      </w:r>
      <w:r w:rsidR="008A21A1">
        <w:rPr>
          <w:rFonts w:ascii="Times New Roman" w:hAnsi="Times New Roman" w:cs="Times New Roman"/>
          <w:kern w:val="0"/>
          <w:sz w:val="24"/>
          <w:szCs w:val="24"/>
          <w14:ligatures w14:val="none"/>
        </w:rPr>
        <w:t>in ways that would also allow corporate behavior to be changed in way</w:t>
      </w:r>
      <w:r w:rsidR="008A6317">
        <w:rPr>
          <w:rFonts w:ascii="Times New Roman" w:hAnsi="Times New Roman" w:cs="Times New Roman"/>
          <w:kern w:val="0"/>
          <w:sz w:val="24"/>
          <w:szCs w:val="24"/>
          <w14:ligatures w14:val="none"/>
        </w:rPr>
        <w:t>s</w:t>
      </w:r>
      <w:r w:rsidR="008A21A1">
        <w:rPr>
          <w:rFonts w:ascii="Times New Roman" w:hAnsi="Times New Roman" w:cs="Times New Roman"/>
          <w:kern w:val="0"/>
          <w:sz w:val="24"/>
          <w:szCs w:val="24"/>
          <w14:ligatures w14:val="none"/>
        </w:rPr>
        <w:t xml:space="preserve"> that simply satisfy the manager</w:t>
      </w:r>
      <w:r w:rsidR="0078152E">
        <w:rPr>
          <w:rFonts w:ascii="Times New Roman" w:hAnsi="Times New Roman" w:cs="Times New Roman"/>
          <w:kern w:val="0"/>
          <w:sz w:val="24"/>
          <w:szCs w:val="24"/>
          <w14:ligatures w14:val="none"/>
        </w:rPr>
        <w:t>s’ self-</w:t>
      </w:r>
      <w:r w:rsidR="008A21A1">
        <w:rPr>
          <w:rFonts w:ascii="Times New Roman" w:hAnsi="Times New Roman" w:cs="Times New Roman"/>
          <w:kern w:val="0"/>
          <w:sz w:val="24"/>
          <w:szCs w:val="24"/>
          <w14:ligatures w14:val="none"/>
        </w:rPr>
        <w:t xml:space="preserve">interest.  </w:t>
      </w:r>
      <w:r w:rsidR="00AE4AB3">
        <w:rPr>
          <w:rFonts w:ascii="Times New Roman" w:hAnsi="Times New Roman" w:cs="Times New Roman"/>
          <w:kern w:val="0"/>
          <w:sz w:val="24"/>
          <w:szCs w:val="24"/>
          <w14:ligatures w14:val="none"/>
        </w:rPr>
        <w:t xml:space="preserve">With respect to our stylized example, </w:t>
      </w:r>
      <w:r w:rsidR="008A6317">
        <w:rPr>
          <w:rFonts w:ascii="Times New Roman" w:hAnsi="Times New Roman" w:cs="Times New Roman"/>
          <w:kern w:val="0"/>
          <w:sz w:val="24"/>
          <w:szCs w:val="24"/>
          <w14:ligatures w14:val="none"/>
        </w:rPr>
        <w:t xml:space="preserve">consider first </w:t>
      </w:r>
      <w:r w:rsidR="00AE4AB3">
        <w:rPr>
          <w:rFonts w:ascii="Times New Roman" w:hAnsi="Times New Roman" w:cs="Times New Roman"/>
          <w:kern w:val="0"/>
          <w:sz w:val="24"/>
          <w:szCs w:val="24"/>
          <w14:ligatures w14:val="none"/>
        </w:rPr>
        <w:t xml:space="preserve">the effort needed in the first instance to change each firm’s governance system </w:t>
      </w:r>
      <w:r w:rsidR="0078152E">
        <w:rPr>
          <w:rFonts w:ascii="Times New Roman" w:hAnsi="Times New Roman" w:cs="Times New Roman"/>
          <w:kern w:val="0"/>
          <w:sz w:val="24"/>
          <w:szCs w:val="24"/>
          <w14:ligatures w14:val="none"/>
        </w:rPr>
        <w:t>to allow shareholder votes on business decisions</w:t>
      </w:r>
      <w:r w:rsidR="008A6317">
        <w:rPr>
          <w:rFonts w:ascii="Times New Roman" w:hAnsi="Times New Roman" w:cs="Times New Roman"/>
          <w:kern w:val="0"/>
          <w:sz w:val="24"/>
          <w:szCs w:val="24"/>
          <w14:ligatures w14:val="none"/>
        </w:rPr>
        <w:t>.  That effort</w:t>
      </w:r>
      <w:r w:rsidR="0078152E">
        <w:rPr>
          <w:rFonts w:ascii="Times New Roman" w:hAnsi="Times New Roman" w:cs="Times New Roman"/>
          <w:kern w:val="0"/>
          <w:sz w:val="24"/>
          <w:szCs w:val="24"/>
          <w14:ligatures w14:val="none"/>
        </w:rPr>
        <w:t xml:space="preserve"> </w:t>
      </w:r>
      <w:r w:rsidR="00AE4AB3">
        <w:rPr>
          <w:rFonts w:ascii="Times New Roman" w:hAnsi="Times New Roman" w:cs="Times New Roman"/>
          <w:kern w:val="0"/>
          <w:sz w:val="24"/>
          <w:szCs w:val="24"/>
          <w14:ligatures w14:val="none"/>
        </w:rPr>
        <w:t xml:space="preserve">could have been directed </w:t>
      </w:r>
      <w:r w:rsidR="008A6317">
        <w:rPr>
          <w:rFonts w:ascii="Times New Roman" w:hAnsi="Times New Roman" w:cs="Times New Roman"/>
          <w:kern w:val="0"/>
          <w:sz w:val="24"/>
          <w:szCs w:val="24"/>
          <w14:ligatures w14:val="none"/>
        </w:rPr>
        <w:t xml:space="preserve">instead </w:t>
      </w:r>
      <w:r w:rsidR="00AE4AB3">
        <w:rPr>
          <w:rFonts w:ascii="Times New Roman" w:hAnsi="Times New Roman" w:cs="Times New Roman"/>
          <w:kern w:val="0"/>
          <w:sz w:val="24"/>
          <w:szCs w:val="24"/>
          <w14:ligatures w14:val="none"/>
        </w:rPr>
        <w:t xml:space="preserve">at </w:t>
      </w:r>
      <w:r w:rsidR="00AE4AB3">
        <w:rPr>
          <w:rFonts w:ascii="Times New Roman" w:hAnsi="Times New Roman" w:cs="Times New Roman"/>
          <w:kern w:val="0"/>
          <w:sz w:val="24"/>
          <w:szCs w:val="24"/>
          <w14:ligatures w14:val="none"/>
        </w:rPr>
        <w:lastRenderedPageBreak/>
        <w:t>trying to improve the overall effectiveness of th</w:t>
      </w:r>
      <w:r w:rsidR="00C24C39">
        <w:rPr>
          <w:rFonts w:ascii="Times New Roman" w:hAnsi="Times New Roman" w:cs="Times New Roman"/>
          <w:kern w:val="0"/>
          <w:sz w:val="24"/>
          <w:szCs w:val="24"/>
          <w14:ligatures w14:val="none"/>
        </w:rPr>
        <w:t xml:space="preserve">e political system.  </w:t>
      </w:r>
      <w:r w:rsidR="008A6317">
        <w:rPr>
          <w:rFonts w:ascii="Times New Roman" w:hAnsi="Times New Roman" w:cs="Times New Roman"/>
          <w:kern w:val="0"/>
          <w:sz w:val="24"/>
          <w:szCs w:val="24"/>
          <w14:ligatures w14:val="none"/>
        </w:rPr>
        <w:t>Furthermore, even after</w:t>
      </w:r>
      <w:r w:rsidR="00C24C39">
        <w:rPr>
          <w:rFonts w:ascii="Times New Roman" w:hAnsi="Times New Roman" w:cs="Times New Roman"/>
          <w:kern w:val="0"/>
          <w:sz w:val="24"/>
          <w:szCs w:val="24"/>
          <w14:ligatures w14:val="none"/>
        </w:rPr>
        <w:t xml:space="preserve"> th</w:t>
      </w:r>
      <w:r w:rsidR="008A6317">
        <w:rPr>
          <w:rFonts w:ascii="Times New Roman" w:hAnsi="Times New Roman" w:cs="Times New Roman"/>
          <w:kern w:val="0"/>
          <w:sz w:val="24"/>
          <w:szCs w:val="24"/>
          <w14:ligatures w14:val="none"/>
        </w:rPr>
        <w:t>e</w:t>
      </w:r>
      <w:r w:rsidR="00C24C39">
        <w:rPr>
          <w:rFonts w:ascii="Times New Roman" w:hAnsi="Times New Roman" w:cs="Times New Roman"/>
          <w:kern w:val="0"/>
          <w:sz w:val="24"/>
          <w:szCs w:val="24"/>
          <w14:ligatures w14:val="none"/>
        </w:rPr>
        <w:t>se fundamental governance alterations</w:t>
      </w:r>
      <w:r w:rsidR="00AE4AB3">
        <w:rPr>
          <w:rFonts w:ascii="Times New Roman" w:hAnsi="Times New Roman" w:cs="Times New Roman"/>
          <w:kern w:val="0"/>
          <w:sz w:val="24"/>
          <w:szCs w:val="24"/>
          <w14:ligatures w14:val="none"/>
        </w:rPr>
        <w:t xml:space="preserve"> are made, </w:t>
      </w:r>
      <w:r w:rsidR="008A21A1">
        <w:rPr>
          <w:rFonts w:ascii="Times New Roman" w:hAnsi="Times New Roman" w:cs="Times New Roman"/>
          <w:kern w:val="0"/>
          <w:sz w:val="24"/>
          <w:szCs w:val="24"/>
          <w14:ligatures w14:val="none"/>
        </w:rPr>
        <w:t xml:space="preserve">for any </w:t>
      </w:r>
      <w:r w:rsidR="00AE4AB3" w:rsidRPr="00225F4A">
        <w:rPr>
          <w:rFonts w:ascii="Times New Roman" w:hAnsi="Times New Roman" w:cs="Times New Roman"/>
          <w:i/>
          <w:kern w:val="0"/>
          <w:sz w:val="24"/>
          <w:szCs w:val="24"/>
          <w14:ligatures w14:val="none"/>
        </w:rPr>
        <w:t>one</w:t>
      </w:r>
      <w:r w:rsidR="00AE4AB3">
        <w:rPr>
          <w:rFonts w:ascii="Times New Roman" w:hAnsi="Times New Roman" w:cs="Times New Roman"/>
          <w:kern w:val="0"/>
          <w:sz w:val="24"/>
          <w:szCs w:val="24"/>
          <w14:ligatures w14:val="none"/>
        </w:rPr>
        <w:t xml:space="preserve"> </w:t>
      </w:r>
      <w:r w:rsidR="008A21A1">
        <w:rPr>
          <w:rFonts w:ascii="Times New Roman" w:hAnsi="Times New Roman" w:cs="Times New Roman"/>
          <w:kern w:val="0"/>
          <w:sz w:val="24"/>
          <w:szCs w:val="24"/>
          <w14:ligatures w14:val="none"/>
        </w:rPr>
        <w:t xml:space="preserve">firm to </w:t>
      </w:r>
      <w:r w:rsidR="00C24C39">
        <w:rPr>
          <w:rFonts w:ascii="Times New Roman" w:hAnsi="Times New Roman" w:cs="Times New Roman"/>
          <w:kern w:val="0"/>
          <w:sz w:val="24"/>
          <w:szCs w:val="24"/>
          <w14:ligatures w14:val="none"/>
        </w:rPr>
        <w:t xml:space="preserve">actually stop polluting, </w:t>
      </w:r>
      <w:r w:rsidR="00434565">
        <w:rPr>
          <w:rFonts w:ascii="Times New Roman" w:hAnsi="Times New Roman" w:cs="Times New Roman"/>
          <w:kern w:val="0"/>
          <w:sz w:val="24"/>
          <w:szCs w:val="24"/>
          <w14:ligatures w14:val="none"/>
        </w:rPr>
        <w:t xml:space="preserve">the resources spent </w:t>
      </w:r>
      <w:r w:rsidR="00AE4AB3">
        <w:rPr>
          <w:rFonts w:ascii="Times New Roman" w:hAnsi="Times New Roman" w:cs="Times New Roman"/>
          <w:kern w:val="0"/>
          <w:sz w:val="24"/>
          <w:szCs w:val="24"/>
          <w14:ligatures w14:val="none"/>
        </w:rPr>
        <w:t xml:space="preserve">to get a majority </w:t>
      </w:r>
      <w:r w:rsidR="008A6317">
        <w:rPr>
          <w:rFonts w:ascii="Times New Roman" w:hAnsi="Times New Roman" w:cs="Times New Roman"/>
          <w:kern w:val="0"/>
          <w:sz w:val="24"/>
          <w:szCs w:val="24"/>
          <w14:ligatures w14:val="none"/>
        </w:rPr>
        <w:t xml:space="preserve">of shareholders </w:t>
      </w:r>
      <w:r w:rsidR="00AE4AB3">
        <w:rPr>
          <w:rFonts w:ascii="Times New Roman" w:hAnsi="Times New Roman" w:cs="Times New Roman"/>
          <w:kern w:val="0"/>
          <w:sz w:val="24"/>
          <w:szCs w:val="24"/>
          <w14:ligatures w14:val="none"/>
        </w:rPr>
        <w:t xml:space="preserve">to </w:t>
      </w:r>
      <w:r w:rsidR="009662B2">
        <w:rPr>
          <w:rFonts w:ascii="Times New Roman" w:hAnsi="Times New Roman" w:cs="Times New Roman"/>
          <w:kern w:val="0"/>
          <w:sz w:val="24"/>
          <w:szCs w:val="24"/>
          <w14:ligatures w14:val="none"/>
        </w:rPr>
        <w:t xml:space="preserve">become aware of the facts and </w:t>
      </w:r>
      <w:r w:rsidR="00AE4AB3">
        <w:rPr>
          <w:rFonts w:ascii="Times New Roman" w:hAnsi="Times New Roman" w:cs="Times New Roman"/>
          <w:kern w:val="0"/>
          <w:sz w:val="24"/>
          <w:szCs w:val="24"/>
          <w14:ligatures w14:val="none"/>
        </w:rPr>
        <w:t xml:space="preserve">vote to end </w:t>
      </w:r>
      <w:r w:rsidR="009662B2">
        <w:rPr>
          <w:rFonts w:ascii="Times New Roman" w:hAnsi="Times New Roman" w:cs="Times New Roman"/>
          <w:kern w:val="0"/>
          <w:sz w:val="24"/>
          <w:szCs w:val="24"/>
          <w14:ligatures w14:val="none"/>
        </w:rPr>
        <w:t xml:space="preserve">the </w:t>
      </w:r>
      <w:r w:rsidR="00AE4AB3">
        <w:rPr>
          <w:rFonts w:ascii="Times New Roman" w:hAnsi="Times New Roman" w:cs="Times New Roman"/>
          <w:kern w:val="0"/>
          <w:sz w:val="24"/>
          <w:szCs w:val="24"/>
          <w14:ligatures w14:val="none"/>
        </w:rPr>
        <w:t xml:space="preserve">pollution </w:t>
      </w:r>
      <w:r w:rsidR="00434565">
        <w:rPr>
          <w:rFonts w:ascii="Times New Roman" w:hAnsi="Times New Roman" w:cs="Times New Roman"/>
          <w:kern w:val="0"/>
          <w:sz w:val="24"/>
          <w:szCs w:val="24"/>
          <w14:ligatures w14:val="none"/>
        </w:rPr>
        <w:t xml:space="preserve">could instead be </w:t>
      </w:r>
      <w:r w:rsidR="008A6317">
        <w:rPr>
          <w:rFonts w:ascii="Times New Roman" w:hAnsi="Times New Roman" w:cs="Times New Roman"/>
          <w:kern w:val="0"/>
          <w:sz w:val="24"/>
          <w:szCs w:val="24"/>
          <w14:ligatures w14:val="none"/>
        </w:rPr>
        <w:t xml:space="preserve">more efficiently </w:t>
      </w:r>
      <w:r w:rsidR="00434565">
        <w:rPr>
          <w:rFonts w:ascii="Times New Roman" w:hAnsi="Times New Roman" w:cs="Times New Roman"/>
          <w:kern w:val="0"/>
          <w:sz w:val="24"/>
          <w:szCs w:val="24"/>
          <w14:ligatures w14:val="none"/>
        </w:rPr>
        <w:t>directed to causing government to enact a tax</w:t>
      </w:r>
      <w:r w:rsidR="008A21A1">
        <w:rPr>
          <w:rFonts w:ascii="Times New Roman" w:hAnsi="Times New Roman" w:cs="Times New Roman"/>
          <w:kern w:val="0"/>
          <w:sz w:val="24"/>
          <w:szCs w:val="24"/>
          <w14:ligatures w14:val="none"/>
        </w:rPr>
        <w:t>es</w:t>
      </w:r>
      <w:r w:rsidR="00434565">
        <w:rPr>
          <w:rFonts w:ascii="Times New Roman" w:hAnsi="Times New Roman" w:cs="Times New Roman"/>
          <w:kern w:val="0"/>
          <w:sz w:val="24"/>
          <w:szCs w:val="24"/>
          <w14:ligatures w14:val="none"/>
        </w:rPr>
        <w:t xml:space="preserve"> or </w:t>
      </w:r>
      <w:r w:rsidR="008A21A1">
        <w:rPr>
          <w:rFonts w:ascii="Times New Roman" w:hAnsi="Times New Roman" w:cs="Times New Roman"/>
          <w:kern w:val="0"/>
          <w:sz w:val="24"/>
          <w:szCs w:val="24"/>
          <w14:ligatures w14:val="none"/>
        </w:rPr>
        <w:t xml:space="preserve">fines that would end the pollution by </w:t>
      </w:r>
      <w:r w:rsidR="008A21A1" w:rsidRPr="00225F4A">
        <w:rPr>
          <w:rFonts w:ascii="Times New Roman" w:hAnsi="Times New Roman" w:cs="Times New Roman"/>
          <w:i/>
          <w:kern w:val="0"/>
          <w:sz w:val="24"/>
          <w:szCs w:val="24"/>
          <w14:ligatures w14:val="none"/>
        </w:rPr>
        <w:t>all</w:t>
      </w:r>
      <w:r w:rsidR="008A21A1">
        <w:rPr>
          <w:rFonts w:ascii="Times New Roman" w:hAnsi="Times New Roman" w:cs="Times New Roman"/>
          <w:kern w:val="0"/>
          <w:sz w:val="24"/>
          <w:szCs w:val="24"/>
          <w14:ligatures w14:val="none"/>
        </w:rPr>
        <w:t xml:space="preserve"> the firms.</w:t>
      </w:r>
      <w:r w:rsidR="00434565">
        <w:rPr>
          <w:rFonts w:ascii="Times New Roman" w:hAnsi="Times New Roman" w:cs="Times New Roman"/>
          <w:kern w:val="0"/>
          <w:sz w:val="24"/>
          <w:szCs w:val="24"/>
          <w14:ligatures w14:val="none"/>
        </w:rPr>
        <w:t xml:space="preserve"> </w:t>
      </w:r>
    </w:p>
    <w:p w14:paraId="72CC9065" w14:textId="2AB2AC70" w:rsidR="00F87C16" w:rsidRDefault="00434565" w:rsidP="00434565">
      <w:pPr>
        <w:spacing w:after="0" w:line="480" w:lineRule="auto"/>
        <w:ind w:right="90" w:firstLine="720"/>
        <w:jc w:val="both"/>
        <w:rPr>
          <w:rFonts w:ascii="Times New Roman" w:hAnsi="Times New Roman" w:cs="Times New Roman"/>
          <w:sz w:val="24"/>
          <w:szCs w:val="24"/>
        </w:rPr>
      </w:pPr>
      <w:r>
        <w:rPr>
          <w:rFonts w:ascii="Times New Roman" w:hAnsi="Times New Roman" w:cs="Times New Roman"/>
          <w:sz w:val="24"/>
          <w:szCs w:val="24"/>
        </w:rPr>
        <w:t>The analysis of Part III predicts that investor sorting theoretically offers a</w:t>
      </w:r>
      <w:r w:rsidR="00AE4AB3">
        <w:rPr>
          <w:rFonts w:ascii="Times New Roman" w:hAnsi="Times New Roman" w:cs="Times New Roman"/>
          <w:sz w:val="24"/>
          <w:szCs w:val="24"/>
        </w:rPr>
        <w:t>n alternative</w:t>
      </w:r>
      <w:r>
        <w:rPr>
          <w:rFonts w:ascii="Times New Roman" w:hAnsi="Times New Roman" w:cs="Times New Roman"/>
          <w:sz w:val="24"/>
          <w:szCs w:val="24"/>
        </w:rPr>
        <w:t xml:space="preserve"> path for investor preferences to cause firms to adopt a stakeholder approach through a price effect. Investors who want </w:t>
      </w:r>
      <w:r w:rsidR="00AE4AB3">
        <w:rPr>
          <w:rFonts w:ascii="Times New Roman" w:hAnsi="Times New Roman" w:cs="Times New Roman"/>
          <w:sz w:val="24"/>
          <w:szCs w:val="24"/>
        </w:rPr>
        <w:t xml:space="preserve">the polluting </w:t>
      </w:r>
      <w:r>
        <w:rPr>
          <w:rFonts w:ascii="Times New Roman" w:hAnsi="Times New Roman" w:cs="Times New Roman"/>
          <w:sz w:val="24"/>
          <w:szCs w:val="24"/>
        </w:rPr>
        <w:t xml:space="preserve">firms to </w:t>
      </w:r>
      <w:r w:rsidR="00AE4AB3">
        <w:rPr>
          <w:rFonts w:ascii="Times New Roman" w:hAnsi="Times New Roman" w:cs="Times New Roman"/>
          <w:sz w:val="24"/>
          <w:szCs w:val="24"/>
        </w:rPr>
        <w:t>stop could, as identity investors,</w:t>
      </w:r>
      <w:r>
        <w:rPr>
          <w:rFonts w:ascii="Times New Roman" w:hAnsi="Times New Roman" w:cs="Times New Roman"/>
          <w:sz w:val="24"/>
          <w:szCs w:val="24"/>
        </w:rPr>
        <w:t xml:space="preserve"> divest the stock of the</w:t>
      </w:r>
      <w:r w:rsidR="00AE4AB3">
        <w:rPr>
          <w:rFonts w:ascii="Times New Roman" w:hAnsi="Times New Roman" w:cs="Times New Roman"/>
          <w:sz w:val="24"/>
          <w:szCs w:val="24"/>
        </w:rPr>
        <w:t xml:space="preserve">se </w:t>
      </w:r>
      <w:r>
        <w:rPr>
          <w:rFonts w:ascii="Times New Roman" w:hAnsi="Times New Roman" w:cs="Times New Roman"/>
          <w:sz w:val="24"/>
          <w:szCs w:val="24"/>
        </w:rPr>
        <w:t>firms</w:t>
      </w:r>
      <w:r w:rsidR="00AE4AB3">
        <w:rPr>
          <w:rFonts w:ascii="Times New Roman" w:hAnsi="Times New Roman" w:cs="Times New Roman"/>
          <w:sz w:val="24"/>
          <w:szCs w:val="24"/>
        </w:rPr>
        <w:t>.</w:t>
      </w:r>
      <w:r>
        <w:rPr>
          <w:rStyle w:val="FootnoteReference"/>
          <w:rFonts w:ascii="Times New Roman" w:hAnsi="Times New Roman" w:cs="Times New Roman"/>
          <w:sz w:val="24"/>
          <w:szCs w:val="24"/>
        </w:rPr>
        <w:footnoteReference w:id="129"/>
      </w:r>
      <w:r>
        <w:rPr>
          <w:rFonts w:ascii="Times New Roman" w:hAnsi="Times New Roman" w:cs="Times New Roman"/>
          <w:sz w:val="24"/>
          <w:szCs w:val="24"/>
        </w:rPr>
        <w:t xml:space="preserve"> That divestment might cause </w:t>
      </w:r>
      <w:r w:rsidR="009662B2">
        <w:rPr>
          <w:rFonts w:ascii="Times New Roman" w:hAnsi="Times New Roman" w:cs="Times New Roman"/>
          <w:sz w:val="24"/>
          <w:szCs w:val="24"/>
        </w:rPr>
        <w:t xml:space="preserve">each </w:t>
      </w:r>
      <w:r w:rsidR="009E6A06">
        <w:rPr>
          <w:rFonts w:ascii="Times New Roman" w:hAnsi="Times New Roman" w:cs="Times New Roman"/>
          <w:sz w:val="24"/>
          <w:szCs w:val="24"/>
        </w:rPr>
        <w:t>polluting firm</w:t>
      </w:r>
      <w:r w:rsidR="009662B2">
        <w:rPr>
          <w:rFonts w:ascii="Times New Roman" w:hAnsi="Times New Roman" w:cs="Times New Roman"/>
          <w:sz w:val="24"/>
          <w:szCs w:val="24"/>
        </w:rPr>
        <w:t>’</w:t>
      </w:r>
      <w:r w:rsidR="009E6A06">
        <w:rPr>
          <w:rFonts w:ascii="Times New Roman" w:hAnsi="Times New Roman" w:cs="Times New Roman"/>
          <w:sz w:val="24"/>
          <w:szCs w:val="24"/>
        </w:rPr>
        <w:t>s price to fall and it</w:t>
      </w:r>
      <w:r w:rsidR="009662B2">
        <w:rPr>
          <w:rFonts w:ascii="Times New Roman" w:hAnsi="Times New Roman" w:cs="Times New Roman"/>
          <w:sz w:val="24"/>
          <w:szCs w:val="24"/>
        </w:rPr>
        <w:t xml:space="preserve">s </w:t>
      </w:r>
      <w:r w:rsidR="009E6A06">
        <w:rPr>
          <w:rFonts w:ascii="Times New Roman" w:hAnsi="Times New Roman" w:cs="Times New Roman"/>
          <w:sz w:val="24"/>
          <w:szCs w:val="24"/>
        </w:rPr>
        <w:t xml:space="preserve">cost of capital to rise because the equity investors </w:t>
      </w:r>
      <w:r w:rsidR="00323151">
        <w:rPr>
          <w:rFonts w:ascii="Times New Roman" w:hAnsi="Times New Roman" w:cs="Times New Roman"/>
          <w:sz w:val="24"/>
          <w:szCs w:val="24"/>
        </w:rPr>
        <w:t xml:space="preserve">in the economy </w:t>
      </w:r>
      <w:r w:rsidR="009E6A06">
        <w:rPr>
          <w:rFonts w:ascii="Times New Roman" w:hAnsi="Times New Roman" w:cs="Times New Roman"/>
          <w:sz w:val="24"/>
          <w:szCs w:val="24"/>
        </w:rPr>
        <w:t>who do not care</w:t>
      </w:r>
      <w:r w:rsidR="00323151">
        <w:rPr>
          <w:rFonts w:ascii="Times New Roman" w:hAnsi="Times New Roman" w:cs="Times New Roman"/>
          <w:sz w:val="24"/>
          <w:szCs w:val="24"/>
        </w:rPr>
        <w:t xml:space="preserve"> about the pollution</w:t>
      </w:r>
      <w:r w:rsidR="009E6A06">
        <w:rPr>
          <w:rFonts w:ascii="Times New Roman" w:hAnsi="Times New Roman" w:cs="Times New Roman"/>
          <w:sz w:val="24"/>
          <w:szCs w:val="24"/>
        </w:rPr>
        <w:t xml:space="preserve"> will need to be incentivized to sacrifice diversification to be the exclusive holders of the shares the polluting firms.</w:t>
      </w:r>
      <w:r w:rsidR="009F37DD">
        <w:rPr>
          <w:rFonts w:ascii="Times New Roman" w:hAnsi="Times New Roman" w:cs="Times New Roman"/>
          <w:sz w:val="24"/>
          <w:szCs w:val="24"/>
        </w:rPr>
        <w:t xml:space="preserve"> </w:t>
      </w:r>
      <w:r w:rsidR="009E6A06">
        <w:rPr>
          <w:rFonts w:ascii="Times New Roman" w:hAnsi="Times New Roman" w:cs="Times New Roman"/>
          <w:sz w:val="24"/>
          <w:szCs w:val="24"/>
        </w:rPr>
        <w:t>This might induce the managers of the polluting firms, who continue to be incentivized to maximize share value, to stop polluting, but this is far from certain.  F</w:t>
      </w:r>
      <w:r>
        <w:rPr>
          <w:rFonts w:ascii="Times New Roman" w:hAnsi="Times New Roman" w:cs="Times New Roman"/>
          <w:sz w:val="24"/>
          <w:szCs w:val="24"/>
        </w:rPr>
        <w:t xml:space="preserve">or the reasons discussed in Part III, any price effect might be trivial and, even if not, </w:t>
      </w:r>
      <w:r w:rsidR="009E6A06">
        <w:rPr>
          <w:rFonts w:ascii="Times New Roman" w:hAnsi="Times New Roman" w:cs="Times New Roman"/>
          <w:sz w:val="24"/>
          <w:szCs w:val="24"/>
        </w:rPr>
        <w:t xml:space="preserve">the reduction in the discount rate from ending pollution may not </w:t>
      </w:r>
      <w:r w:rsidR="008A6317">
        <w:rPr>
          <w:rFonts w:ascii="Times New Roman" w:hAnsi="Times New Roman" w:cs="Times New Roman"/>
          <w:sz w:val="24"/>
          <w:szCs w:val="24"/>
        </w:rPr>
        <w:t>buoy</w:t>
      </w:r>
      <w:r w:rsidR="009E6A06">
        <w:rPr>
          <w:rFonts w:ascii="Times New Roman" w:hAnsi="Times New Roman" w:cs="Times New Roman"/>
          <w:sz w:val="24"/>
          <w:szCs w:val="24"/>
        </w:rPr>
        <w:t xml:space="preserve"> share price as much as the extra costs would depress it. </w:t>
      </w:r>
      <w:r w:rsidR="00880A20">
        <w:rPr>
          <w:rFonts w:ascii="Times New Roman" w:hAnsi="Times New Roman" w:cs="Times New Roman"/>
          <w:sz w:val="24"/>
          <w:szCs w:val="24"/>
        </w:rPr>
        <w:t>Still, this pathway to change would be more efficient in terms of information costs and would not require a softening of the sticks and carrots in managerial incentive structure that could lead to the inefficiency of greater managerial self-serving behavior.</w:t>
      </w:r>
      <w:r w:rsidR="00887917">
        <w:rPr>
          <w:rFonts w:ascii="Times New Roman" w:hAnsi="Times New Roman" w:cs="Times New Roman"/>
          <w:sz w:val="24"/>
          <w:szCs w:val="24"/>
        </w:rPr>
        <w:t xml:space="preserve"> And through its effect on cost of capital might, by gradually altering the nature of firms’ productive capacity, lead to more meaningful changes in behavior.</w:t>
      </w:r>
    </w:p>
    <w:p w14:paraId="16E34020" w14:textId="40D49AD2" w:rsidR="006048E9" w:rsidRDefault="006048E9" w:rsidP="0069257D">
      <w:pPr>
        <w:spacing w:after="0" w:line="240" w:lineRule="auto"/>
        <w:ind w:right="90" w:firstLine="720"/>
        <w:jc w:val="center"/>
        <w:rPr>
          <w:rFonts w:ascii="Times New Roman" w:hAnsi="Times New Roman" w:cs="Times New Roman"/>
          <w:i/>
          <w:sz w:val="24"/>
          <w:szCs w:val="24"/>
        </w:rPr>
      </w:pPr>
      <w:r>
        <w:rPr>
          <w:rFonts w:ascii="Times New Roman" w:hAnsi="Times New Roman" w:cs="Times New Roman"/>
          <w:i/>
          <w:sz w:val="24"/>
          <w:szCs w:val="24"/>
        </w:rPr>
        <w:t>C. The Presence of Profit Sacrificing Shareholders is Not Sufficient to Provide Reliable Guides</w:t>
      </w:r>
    </w:p>
    <w:p w14:paraId="37443B96" w14:textId="77777777" w:rsidR="006048E9" w:rsidRPr="0069257D" w:rsidRDefault="006048E9" w:rsidP="0069257D">
      <w:pPr>
        <w:spacing w:after="0" w:line="240" w:lineRule="auto"/>
        <w:ind w:right="90" w:firstLine="720"/>
        <w:jc w:val="center"/>
        <w:rPr>
          <w:rFonts w:ascii="Times New Roman" w:hAnsi="Times New Roman" w:cs="Times New Roman"/>
          <w:i/>
          <w:sz w:val="24"/>
          <w:szCs w:val="24"/>
        </w:rPr>
      </w:pPr>
    </w:p>
    <w:p w14:paraId="5CD6E4BA" w14:textId="0C9400FC" w:rsidR="00856A34" w:rsidRDefault="00856A34" w:rsidP="00856A34">
      <w:pPr>
        <w:spacing w:after="0" w:line="480" w:lineRule="auto"/>
        <w:ind w:right="9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precise contours of </w:t>
      </w:r>
      <w:r w:rsidR="00B330FF">
        <w:rPr>
          <w:rFonts w:ascii="Times New Roman" w:hAnsi="Times New Roman" w:cs="Times New Roman"/>
          <w:sz w:val="24"/>
          <w:szCs w:val="24"/>
        </w:rPr>
        <w:t xml:space="preserve">what the proponents of </w:t>
      </w:r>
      <w:r w:rsidR="008E1450">
        <w:rPr>
          <w:rFonts w:ascii="Times New Roman" w:hAnsi="Times New Roman" w:cs="Times New Roman"/>
          <w:sz w:val="24"/>
          <w:szCs w:val="24"/>
        </w:rPr>
        <w:t xml:space="preserve">the alternative ends approach to corporate purpose call </w:t>
      </w:r>
      <w:r w:rsidR="00880A20">
        <w:rPr>
          <w:rFonts w:ascii="Times New Roman" w:hAnsi="Times New Roman" w:cs="Times New Roman"/>
          <w:sz w:val="24"/>
          <w:szCs w:val="24"/>
        </w:rPr>
        <w:t xml:space="preserve">for </w:t>
      </w:r>
      <w:r w:rsidR="008E1450">
        <w:rPr>
          <w:rFonts w:ascii="Times New Roman" w:hAnsi="Times New Roman" w:cs="Times New Roman"/>
          <w:sz w:val="24"/>
          <w:szCs w:val="24"/>
        </w:rPr>
        <w:t xml:space="preserve">tend to be unclear. </w:t>
      </w:r>
      <w:r>
        <w:rPr>
          <w:rFonts w:ascii="Times New Roman" w:hAnsi="Times New Roman" w:cs="Times New Roman"/>
          <w:sz w:val="24"/>
          <w:szCs w:val="24"/>
        </w:rPr>
        <w:t xml:space="preserve"> At its most general level, </w:t>
      </w:r>
      <w:r w:rsidR="008E1450">
        <w:rPr>
          <w:rFonts w:ascii="Times New Roman" w:hAnsi="Times New Roman" w:cs="Times New Roman"/>
          <w:sz w:val="24"/>
          <w:szCs w:val="24"/>
        </w:rPr>
        <w:t>the alternative ends approach</w:t>
      </w:r>
      <w:r>
        <w:rPr>
          <w:rFonts w:ascii="Times New Roman" w:hAnsi="Times New Roman" w:cs="Times New Roman"/>
          <w:sz w:val="24"/>
          <w:szCs w:val="24"/>
        </w:rPr>
        <w:t xml:space="preserve"> would expand a firm’s objective function so that, in addition to shareholder interests, it also includes </w:t>
      </w:r>
      <w:r w:rsidR="00880A20">
        <w:rPr>
          <w:rFonts w:ascii="Times New Roman" w:hAnsi="Times New Roman" w:cs="Times New Roman"/>
          <w:sz w:val="24"/>
          <w:szCs w:val="24"/>
        </w:rPr>
        <w:t xml:space="preserve">benefitting </w:t>
      </w:r>
      <w:r>
        <w:rPr>
          <w:rFonts w:ascii="Times New Roman" w:hAnsi="Times New Roman" w:cs="Times New Roman"/>
          <w:sz w:val="24"/>
          <w:szCs w:val="24"/>
        </w:rPr>
        <w:t>the interests of others who might be affected by the corporation’s conduct.</w:t>
      </w:r>
      <w:bookmarkStart w:id="33" w:name="_Ref180754404"/>
      <w:r>
        <w:rPr>
          <w:rStyle w:val="FootnoteReference"/>
          <w:rFonts w:ascii="Times New Roman" w:hAnsi="Times New Roman" w:cs="Times New Roman"/>
          <w:sz w:val="24"/>
          <w:szCs w:val="24"/>
        </w:rPr>
        <w:footnoteReference w:id="130"/>
      </w:r>
      <w:bookmarkEnd w:id="33"/>
      <w:r>
        <w:rPr>
          <w:rFonts w:ascii="Times New Roman" w:hAnsi="Times New Roman" w:cs="Times New Roman"/>
          <w:sz w:val="24"/>
          <w:szCs w:val="24"/>
        </w:rPr>
        <w:t xml:space="preserve"> But as been explained elsewhere, there is lack of clarity in the literature about </w:t>
      </w:r>
      <w:r w:rsidR="008E1450">
        <w:rPr>
          <w:rFonts w:ascii="Times New Roman" w:hAnsi="Times New Roman" w:cs="Times New Roman"/>
          <w:sz w:val="24"/>
          <w:szCs w:val="24"/>
        </w:rPr>
        <w:t xml:space="preserve">whose </w:t>
      </w:r>
      <w:r>
        <w:rPr>
          <w:rFonts w:ascii="Times New Roman" w:hAnsi="Times New Roman" w:cs="Times New Roman"/>
          <w:sz w:val="24"/>
          <w:szCs w:val="24"/>
        </w:rPr>
        <w:t xml:space="preserve">interests </w:t>
      </w:r>
      <w:r w:rsidR="008E1450">
        <w:rPr>
          <w:rFonts w:ascii="Times New Roman" w:hAnsi="Times New Roman" w:cs="Times New Roman"/>
          <w:sz w:val="24"/>
          <w:szCs w:val="24"/>
        </w:rPr>
        <w:t xml:space="preserve">should be </w:t>
      </w:r>
      <w:r>
        <w:rPr>
          <w:rFonts w:ascii="Times New Roman" w:hAnsi="Times New Roman" w:cs="Times New Roman"/>
          <w:sz w:val="24"/>
          <w:szCs w:val="24"/>
        </w:rPr>
        <w:t>included in the corporate objective.</w:t>
      </w:r>
      <w:r>
        <w:rPr>
          <w:rStyle w:val="FootnoteReference"/>
          <w:rFonts w:ascii="Times New Roman" w:hAnsi="Times New Roman" w:cs="Times New Roman"/>
          <w:sz w:val="24"/>
          <w:szCs w:val="24"/>
        </w:rPr>
        <w:footnoteReference w:id="131"/>
      </w:r>
      <w:r>
        <w:rPr>
          <w:rFonts w:ascii="Times New Roman" w:hAnsi="Times New Roman" w:cs="Times New Roman"/>
          <w:sz w:val="24"/>
          <w:szCs w:val="24"/>
        </w:rPr>
        <w:t xml:space="preserve">  The literature also does not make clear how the various interests that should be credited are to be weighed against one another by the managers of a corporation that adopts </w:t>
      </w:r>
      <w:r w:rsidR="008E1450">
        <w:rPr>
          <w:rFonts w:ascii="Times New Roman" w:hAnsi="Times New Roman" w:cs="Times New Roman"/>
          <w:sz w:val="24"/>
          <w:szCs w:val="24"/>
        </w:rPr>
        <w:t>the alternative ends approach</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32"/>
      </w:r>
      <w:r>
        <w:rPr>
          <w:rFonts w:ascii="Times New Roman" w:hAnsi="Times New Roman" w:cs="Times New Roman"/>
          <w:sz w:val="24"/>
          <w:szCs w:val="24"/>
        </w:rPr>
        <w:t xml:space="preserve"> To take an example, while </w:t>
      </w:r>
      <w:r w:rsidR="008E1450">
        <w:rPr>
          <w:rFonts w:ascii="Times New Roman" w:hAnsi="Times New Roman" w:cs="Times New Roman"/>
          <w:sz w:val="24"/>
          <w:szCs w:val="24"/>
        </w:rPr>
        <w:t xml:space="preserve">many </w:t>
      </w:r>
      <w:r>
        <w:rPr>
          <w:rFonts w:ascii="Times New Roman" w:hAnsi="Times New Roman" w:cs="Times New Roman"/>
          <w:sz w:val="24"/>
          <w:szCs w:val="24"/>
        </w:rPr>
        <w:t xml:space="preserve">articulations of </w:t>
      </w:r>
      <w:r w:rsidR="008E1450">
        <w:rPr>
          <w:rFonts w:ascii="Times New Roman" w:hAnsi="Times New Roman" w:cs="Times New Roman"/>
          <w:sz w:val="24"/>
          <w:szCs w:val="24"/>
        </w:rPr>
        <w:t xml:space="preserve">the alternative ends approach to corporate governance </w:t>
      </w:r>
      <w:r>
        <w:rPr>
          <w:rFonts w:ascii="Times New Roman" w:hAnsi="Times New Roman" w:cs="Times New Roman"/>
          <w:sz w:val="24"/>
          <w:szCs w:val="24"/>
        </w:rPr>
        <w:t xml:space="preserve">would include the firm’s employees as non-shareholder constituents whose interests </w:t>
      </w:r>
      <w:r w:rsidR="008E1450">
        <w:rPr>
          <w:rFonts w:ascii="Times New Roman" w:hAnsi="Times New Roman" w:cs="Times New Roman"/>
          <w:sz w:val="24"/>
          <w:szCs w:val="24"/>
        </w:rPr>
        <w:t xml:space="preserve">(beyond what they can obtain through </w:t>
      </w:r>
      <w:r w:rsidR="008E1450">
        <w:rPr>
          <w:rFonts w:ascii="Times New Roman" w:hAnsi="Times New Roman" w:cs="Times New Roman"/>
          <w:sz w:val="24"/>
          <w:szCs w:val="24"/>
        </w:rPr>
        <w:lastRenderedPageBreak/>
        <w:t xml:space="preserve">explicit or implicit contracts) the corporation should consider </w:t>
      </w:r>
      <w:r>
        <w:rPr>
          <w:rFonts w:ascii="Times New Roman" w:hAnsi="Times New Roman" w:cs="Times New Roman"/>
          <w:sz w:val="24"/>
          <w:szCs w:val="24"/>
        </w:rPr>
        <w:t>when making corporate decisions</w:t>
      </w:r>
      <w:r w:rsidR="00880A20">
        <w:rPr>
          <w:rFonts w:ascii="Times New Roman" w:hAnsi="Times New Roman" w:cs="Times New Roman"/>
          <w:sz w:val="24"/>
          <w:szCs w:val="24"/>
        </w:rPr>
        <w:t>.</w:t>
      </w:r>
      <w:r>
        <w:rPr>
          <w:rFonts w:ascii="Times New Roman" w:hAnsi="Times New Roman" w:cs="Times New Roman"/>
          <w:sz w:val="24"/>
          <w:szCs w:val="24"/>
        </w:rPr>
        <w:t xml:space="preserve"> </w:t>
      </w:r>
      <w:r w:rsidR="00880A20">
        <w:rPr>
          <w:rFonts w:ascii="Times New Roman" w:hAnsi="Times New Roman" w:cs="Times New Roman"/>
          <w:sz w:val="24"/>
          <w:szCs w:val="24"/>
        </w:rPr>
        <w:t>T</w:t>
      </w:r>
      <w:r>
        <w:rPr>
          <w:rFonts w:ascii="Times New Roman" w:hAnsi="Times New Roman" w:cs="Times New Roman"/>
          <w:sz w:val="24"/>
          <w:szCs w:val="24"/>
        </w:rPr>
        <w:t>he literature does not take a clear position</w:t>
      </w:r>
      <w:r w:rsidR="00880A20">
        <w:rPr>
          <w:rFonts w:ascii="Times New Roman" w:hAnsi="Times New Roman" w:cs="Times New Roman"/>
          <w:sz w:val="24"/>
          <w:szCs w:val="24"/>
        </w:rPr>
        <w:t>, however,</w:t>
      </w:r>
      <w:r>
        <w:rPr>
          <w:rFonts w:ascii="Times New Roman" w:hAnsi="Times New Roman" w:cs="Times New Roman"/>
          <w:sz w:val="24"/>
          <w:szCs w:val="24"/>
        </w:rPr>
        <w:t xml:space="preserve"> on how those interests should be weighed vis-à-vis shareholder interests. So, if a firm’s stock price would drop by 15% if it were to increase the wages of its hourly employees by 10%, it is unclear whether such a change would or would not be normatively justified </w:t>
      </w:r>
      <w:r w:rsidR="008E1450">
        <w:rPr>
          <w:rFonts w:ascii="Times New Roman" w:hAnsi="Times New Roman" w:cs="Times New Roman"/>
          <w:sz w:val="24"/>
          <w:szCs w:val="24"/>
        </w:rPr>
        <w:t xml:space="preserve">under an approach where one of the corporation’s alternative ends is the welfare of its employees. </w:t>
      </w:r>
    </w:p>
    <w:p w14:paraId="7F290126" w14:textId="52EDE61A" w:rsidR="00690504" w:rsidRDefault="00690504" w:rsidP="00856A34">
      <w:pPr>
        <w:spacing w:after="0" w:line="480" w:lineRule="auto"/>
        <w:ind w:right="90" w:firstLine="720"/>
        <w:jc w:val="both"/>
        <w:rPr>
          <w:rFonts w:ascii="Times New Roman" w:hAnsi="Times New Roman" w:cs="Times New Roman"/>
          <w:kern w:val="0"/>
          <w:sz w:val="24"/>
          <w:szCs w:val="24"/>
          <w14:ligatures w14:val="none"/>
        </w:rPr>
      </w:pPr>
      <w:r>
        <w:rPr>
          <w:rFonts w:ascii="Times New Roman" w:hAnsi="Times New Roman" w:cs="Times New Roman"/>
          <w:sz w:val="24"/>
          <w:szCs w:val="24"/>
        </w:rPr>
        <w:t xml:space="preserve">The point that we can add here is that </w:t>
      </w:r>
      <w:r>
        <w:rPr>
          <w:rFonts w:ascii="Times New Roman" w:hAnsi="Times New Roman" w:cs="Times New Roman"/>
          <w:kern w:val="0"/>
          <w:sz w:val="24"/>
          <w:szCs w:val="24"/>
          <w14:ligatures w14:val="none"/>
        </w:rPr>
        <w:t xml:space="preserve">because shareholders are not well informed concerning the extent to which changes in corporate behavior would further ends that they support or the costs of these changes in terms of share value, directors and </w:t>
      </w:r>
      <w:r w:rsidR="004979E2">
        <w:rPr>
          <w:rFonts w:ascii="Times New Roman" w:hAnsi="Times New Roman" w:cs="Times New Roman"/>
          <w:kern w:val="0"/>
          <w:sz w:val="24"/>
          <w:szCs w:val="24"/>
          <w14:ligatures w14:val="none"/>
        </w:rPr>
        <w:t>officers</w:t>
      </w:r>
      <w:r>
        <w:rPr>
          <w:rFonts w:ascii="Times New Roman" w:hAnsi="Times New Roman" w:cs="Times New Roman"/>
          <w:kern w:val="0"/>
          <w:sz w:val="24"/>
          <w:szCs w:val="24"/>
          <w14:ligatures w14:val="none"/>
        </w:rPr>
        <w:t xml:space="preserve">, even if they wished to do what shareholders would prefer if the </w:t>
      </w:r>
      <w:r w:rsidR="00323151">
        <w:rPr>
          <w:rFonts w:ascii="Times New Roman" w:hAnsi="Times New Roman" w:cs="Times New Roman"/>
          <w:kern w:val="0"/>
          <w:sz w:val="24"/>
          <w:szCs w:val="24"/>
          <w14:ligatures w14:val="none"/>
        </w:rPr>
        <w:t xml:space="preserve">shareholders really </w:t>
      </w:r>
      <w:r>
        <w:rPr>
          <w:rFonts w:ascii="Times New Roman" w:hAnsi="Times New Roman" w:cs="Times New Roman"/>
          <w:kern w:val="0"/>
          <w:sz w:val="24"/>
          <w:szCs w:val="24"/>
          <w14:ligatures w14:val="none"/>
        </w:rPr>
        <w:t xml:space="preserve">were informed, lack any reliable guides.  In the end, for these incipient </w:t>
      </w:r>
      <w:r w:rsidR="0069257D">
        <w:rPr>
          <w:rFonts w:ascii="Times New Roman" w:hAnsi="Times New Roman" w:cs="Times New Roman"/>
          <w:kern w:val="0"/>
          <w:sz w:val="24"/>
          <w:szCs w:val="24"/>
          <w14:ligatures w14:val="none"/>
        </w:rPr>
        <w:t>socially minded</w:t>
      </w:r>
      <w:r>
        <w:rPr>
          <w:rFonts w:ascii="Times New Roman" w:hAnsi="Times New Roman" w:cs="Times New Roman"/>
          <w:kern w:val="0"/>
          <w:sz w:val="24"/>
          <w:szCs w:val="24"/>
          <w14:ligatures w14:val="none"/>
        </w:rPr>
        <w:t xml:space="preserve"> preferences to become reliable guides, there would need at a minimum to be the fundamental reform of allowing shareholder votes to determine </w:t>
      </w:r>
      <w:r w:rsidR="004979E2">
        <w:rPr>
          <w:rFonts w:ascii="Times New Roman" w:hAnsi="Times New Roman" w:cs="Times New Roman"/>
          <w:kern w:val="0"/>
          <w:sz w:val="24"/>
          <w:szCs w:val="24"/>
          <w14:ligatures w14:val="none"/>
        </w:rPr>
        <w:t>discrete</w:t>
      </w:r>
      <w:r>
        <w:rPr>
          <w:rFonts w:ascii="Times New Roman" w:hAnsi="Times New Roman" w:cs="Times New Roman"/>
          <w:kern w:val="0"/>
          <w:sz w:val="24"/>
          <w:szCs w:val="24"/>
          <w14:ligatures w14:val="none"/>
        </w:rPr>
        <w:t xml:space="preserve"> business decisions involving deviations from share value maximization and the development of the cost</w:t>
      </w:r>
      <w:r w:rsidR="00323151">
        <w:rPr>
          <w:rFonts w:ascii="Times New Roman" w:hAnsi="Times New Roman" w:cs="Times New Roman"/>
          <w:kern w:val="0"/>
          <w:sz w:val="24"/>
          <w:szCs w:val="24"/>
          <w14:ligatures w14:val="none"/>
        </w:rPr>
        <w:t>ly</w:t>
      </w:r>
      <w:r>
        <w:rPr>
          <w:rFonts w:ascii="Times New Roman" w:hAnsi="Times New Roman" w:cs="Times New Roman"/>
          <w:kern w:val="0"/>
          <w:sz w:val="24"/>
          <w:szCs w:val="24"/>
          <w14:ligatures w14:val="none"/>
        </w:rPr>
        <w:t xml:space="preserve"> firm</w:t>
      </w:r>
      <w:r w:rsidR="00880A20">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by</w:t>
      </w:r>
      <w:r w:rsidR="00880A20">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firm political system th</w:t>
      </w:r>
      <w:r w:rsidR="00323151">
        <w:rPr>
          <w:rFonts w:ascii="Times New Roman" w:hAnsi="Times New Roman" w:cs="Times New Roman"/>
          <w:kern w:val="0"/>
          <w:sz w:val="24"/>
          <w:szCs w:val="24"/>
          <w14:ligatures w14:val="none"/>
        </w:rPr>
        <w:t>at we have described in Part II to inform voters and mobilize their votes.</w:t>
      </w:r>
    </w:p>
    <w:p w14:paraId="25AF73EA" w14:textId="5B371CE8" w:rsidR="00D418BD" w:rsidRPr="004979E2" w:rsidRDefault="006C6540" w:rsidP="004979E2">
      <w:pPr>
        <w:spacing w:after="0" w:line="240" w:lineRule="auto"/>
        <w:ind w:right="90" w:firstLine="720"/>
        <w:jc w:val="center"/>
        <w:rPr>
          <w:rFonts w:ascii="Times New Roman" w:hAnsi="Times New Roman" w:cs="Times New Roman"/>
          <w:i/>
          <w:kern w:val="0"/>
          <w:sz w:val="24"/>
          <w:szCs w:val="24"/>
          <w14:ligatures w14:val="none"/>
        </w:rPr>
      </w:pPr>
      <w:r>
        <w:rPr>
          <w:rFonts w:ascii="Times New Roman" w:hAnsi="Times New Roman" w:cs="Times New Roman"/>
          <w:i/>
          <w:kern w:val="0"/>
          <w:sz w:val="24"/>
          <w:szCs w:val="24"/>
          <w14:ligatures w14:val="none"/>
        </w:rPr>
        <w:t>D.</w:t>
      </w:r>
      <w:bookmarkStart w:id="34" w:name="_Hlk180755375"/>
      <w:r>
        <w:rPr>
          <w:rFonts w:ascii="Times New Roman" w:hAnsi="Times New Roman" w:cs="Times New Roman"/>
          <w:i/>
          <w:kern w:val="0"/>
          <w:sz w:val="24"/>
          <w:szCs w:val="24"/>
          <w14:ligatures w14:val="none"/>
        </w:rPr>
        <w:t xml:space="preserve"> What a</w:t>
      </w:r>
      <w:r w:rsidR="00D418BD">
        <w:rPr>
          <w:rFonts w:ascii="Times New Roman" w:hAnsi="Times New Roman" w:cs="Times New Roman"/>
          <w:i/>
          <w:kern w:val="0"/>
          <w:sz w:val="24"/>
          <w:szCs w:val="24"/>
          <w14:ligatures w14:val="none"/>
        </w:rPr>
        <w:t xml:space="preserve">n Examination of </w:t>
      </w:r>
      <w:r w:rsidR="009C6E4A">
        <w:rPr>
          <w:rFonts w:ascii="Times New Roman" w:hAnsi="Times New Roman" w:cs="Times New Roman"/>
          <w:i/>
          <w:kern w:val="0"/>
          <w:sz w:val="24"/>
          <w:szCs w:val="24"/>
          <w14:ligatures w14:val="none"/>
        </w:rPr>
        <w:t xml:space="preserve">the </w:t>
      </w:r>
      <w:r w:rsidR="00D418BD">
        <w:rPr>
          <w:rFonts w:ascii="Times New Roman" w:hAnsi="Times New Roman" w:cs="Times New Roman"/>
          <w:i/>
          <w:kern w:val="0"/>
          <w:sz w:val="24"/>
          <w:szCs w:val="24"/>
          <w14:ligatures w14:val="none"/>
        </w:rPr>
        <w:t>Role of Shareholder Prefe</w:t>
      </w:r>
      <w:r>
        <w:rPr>
          <w:rFonts w:ascii="Times New Roman" w:hAnsi="Times New Roman" w:cs="Times New Roman"/>
          <w:i/>
          <w:kern w:val="0"/>
          <w:sz w:val="24"/>
          <w:szCs w:val="24"/>
          <w14:ligatures w14:val="none"/>
        </w:rPr>
        <w:t>re</w:t>
      </w:r>
      <w:r w:rsidR="00D418BD">
        <w:rPr>
          <w:rFonts w:ascii="Times New Roman" w:hAnsi="Times New Roman" w:cs="Times New Roman"/>
          <w:i/>
          <w:kern w:val="0"/>
          <w:sz w:val="24"/>
          <w:szCs w:val="24"/>
          <w14:ligatures w14:val="none"/>
        </w:rPr>
        <w:t>nces Can</w:t>
      </w:r>
      <w:r>
        <w:rPr>
          <w:rFonts w:ascii="Times New Roman" w:hAnsi="Times New Roman" w:cs="Times New Roman"/>
          <w:i/>
          <w:kern w:val="0"/>
          <w:sz w:val="24"/>
          <w:szCs w:val="24"/>
          <w14:ligatures w14:val="none"/>
        </w:rPr>
        <w:t>not</w:t>
      </w:r>
      <w:r w:rsidR="00D418BD">
        <w:rPr>
          <w:rFonts w:ascii="Times New Roman" w:hAnsi="Times New Roman" w:cs="Times New Roman"/>
          <w:i/>
          <w:kern w:val="0"/>
          <w:sz w:val="24"/>
          <w:szCs w:val="24"/>
          <w14:ligatures w14:val="none"/>
        </w:rPr>
        <w:t xml:space="preserve"> Add to the </w:t>
      </w:r>
      <w:r w:rsidR="009C6E4A">
        <w:rPr>
          <w:rFonts w:ascii="Times New Roman" w:hAnsi="Times New Roman" w:cs="Times New Roman"/>
          <w:i/>
          <w:kern w:val="0"/>
          <w:sz w:val="24"/>
          <w:szCs w:val="24"/>
          <w14:ligatures w14:val="none"/>
        </w:rPr>
        <w:t xml:space="preserve">Corporate </w:t>
      </w:r>
      <w:r w:rsidR="00D418BD">
        <w:rPr>
          <w:rFonts w:ascii="Times New Roman" w:hAnsi="Times New Roman" w:cs="Times New Roman"/>
          <w:i/>
          <w:kern w:val="0"/>
          <w:sz w:val="24"/>
          <w:szCs w:val="24"/>
          <w14:ligatures w14:val="none"/>
        </w:rPr>
        <w:t>Purpose Debate</w:t>
      </w:r>
      <w:bookmarkEnd w:id="34"/>
    </w:p>
    <w:p w14:paraId="1A19B501" w14:textId="77777777" w:rsidR="00690504" w:rsidRDefault="00690504" w:rsidP="00856A34">
      <w:pPr>
        <w:spacing w:after="0" w:line="480" w:lineRule="auto"/>
        <w:ind w:right="90" w:firstLine="720"/>
        <w:jc w:val="both"/>
        <w:rPr>
          <w:rFonts w:ascii="Times New Roman" w:hAnsi="Times New Roman" w:cs="Times New Roman"/>
          <w:sz w:val="24"/>
          <w:szCs w:val="24"/>
        </w:rPr>
      </w:pPr>
    </w:p>
    <w:p w14:paraId="7F7CD1BD" w14:textId="311C28B7" w:rsidR="00617B03" w:rsidRDefault="00617B03" w:rsidP="00856A34">
      <w:pPr>
        <w:spacing w:after="0" w:line="480" w:lineRule="auto"/>
        <w:ind w:right="90" w:firstLine="720"/>
        <w:jc w:val="both"/>
        <w:rPr>
          <w:rFonts w:ascii="Times New Roman" w:hAnsi="Times New Roman" w:cs="Times New Roman"/>
          <w:sz w:val="24"/>
          <w:szCs w:val="24"/>
        </w:rPr>
      </w:pPr>
      <w:r>
        <w:rPr>
          <w:rFonts w:ascii="Times New Roman" w:hAnsi="Times New Roman" w:cs="Times New Roman"/>
          <w:sz w:val="24"/>
          <w:szCs w:val="24"/>
        </w:rPr>
        <w:t xml:space="preserve">We should make clear that we share many of the externality and equity concerns that motivate the proponents of the alternative end approach to corporate governance.  We </w:t>
      </w:r>
      <w:r w:rsidR="00A0486C">
        <w:rPr>
          <w:rFonts w:ascii="Times New Roman" w:hAnsi="Times New Roman" w:cs="Times New Roman"/>
          <w:sz w:val="24"/>
          <w:szCs w:val="24"/>
        </w:rPr>
        <w:t>too</w:t>
      </w:r>
      <w:r>
        <w:rPr>
          <w:rFonts w:ascii="Times New Roman" w:hAnsi="Times New Roman" w:cs="Times New Roman"/>
          <w:sz w:val="24"/>
          <w:szCs w:val="24"/>
        </w:rPr>
        <w:t xml:space="preserve"> </w:t>
      </w:r>
      <w:r w:rsidR="00880A20">
        <w:rPr>
          <w:rFonts w:ascii="Times New Roman" w:hAnsi="Times New Roman" w:cs="Times New Roman"/>
          <w:sz w:val="24"/>
          <w:szCs w:val="24"/>
        </w:rPr>
        <w:t xml:space="preserve">would prefer </w:t>
      </w:r>
      <w:r>
        <w:rPr>
          <w:rFonts w:ascii="Times New Roman" w:hAnsi="Times New Roman" w:cs="Times New Roman"/>
          <w:sz w:val="24"/>
          <w:szCs w:val="24"/>
        </w:rPr>
        <w:t>the</w:t>
      </w:r>
      <w:r w:rsidR="00880A20">
        <w:rPr>
          <w:rFonts w:ascii="Times New Roman" w:hAnsi="Times New Roman" w:cs="Times New Roman"/>
          <w:sz w:val="24"/>
          <w:szCs w:val="24"/>
        </w:rPr>
        <w:t xml:space="preserve"> outcome they would favor </w:t>
      </w:r>
      <w:r>
        <w:rPr>
          <w:rFonts w:ascii="Times New Roman" w:hAnsi="Times New Roman" w:cs="Times New Roman"/>
          <w:sz w:val="24"/>
          <w:szCs w:val="24"/>
        </w:rPr>
        <w:t xml:space="preserve">when it comes to any instance where a corporation is maximizing share value in the presence of a market imperfection.  </w:t>
      </w:r>
      <w:r w:rsidR="00880A20">
        <w:rPr>
          <w:rFonts w:ascii="Times New Roman" w:hAnsi="Times New Roman" w:cs="Times New Roman"/>
          <w:sz w:val="24"/>
          <w:szCs w:val="24"/>
        </w:rPr>
        <w:t xml:space="preserve">It </w:t>
      </w:r>
      <w:r w:rsidR="00A0486C">
        <w:rPr>
          <w:rFonts w:ascii="Times New Roman" w:hAnsi="Times New Roman" w:cs="Times New Roman"/>
          <w:sz w:val="24"/>
          <w:szCs w:val="24"/>
        </w:rPr>
        <w:t>would be a social improvement i</w:t>
      </w:r>
      <w:r>
        <w:rPr>
          <w:rFonts w:ascii="Times New Roman" w:hAnsi="Times New Roman" w:cs="Times New Roman"/>
          <w:sz w:val="24"/>
          <w:szCs w:val="24"/>
        </w:rPr>
        <w:t xml:space="preserve">f the corporation were </w:t>
      </w:r>
      <w:r w:rsidR="00A0486C">
        <w:rPr>
          <w:rFonts w:ascii="Times New Roman" w:hAnsi="Times New Roman" w:cs="Times New Roman"/>
          <w:sz w:val="24"/>
          <w:szCs w:val="24"/>
        </w:rPr>
        <w:t>somehow constrained so that it instead would</w:t>
      </w:r>
      <w:r>
        <w:rPr>
          <w:rFonts w:ascii="Times New Roman" w:hAnsi="Times New Roman" w:cs="Times New Roman"/>
          <w:sz w:val="24"/>
          <w:szCs w:val="24"/>
        </w:rPr>
        <w:t xml:space="preserve"> adopt whatever behavior it would have followed </w:t>
      </w:r>
      <w:r w:rsidR="00A0486C">
        <w:rPr>
          <w:rFonts w:ascii="Times New Roman" w:hAnsi="Times New Roman" w:cs="Times New Roman"/>
          <w:sz w:val="24"/>
          <w:szCs w:val="24"/>
        </w:rPr>
        <w:t>as a share value maximiz</w:t>
      </w:r>
      <w:r w:rsidR="0069257D">
        <w:rPr>
          <w:rFonts w:ascii="Times New Roman" w:hAnsi="Times New Roman" w:cs="Times New Roman"/>
          <w:sz w:val="24"/>
          <w:szCs w:val="24"/>
        </w:rPr>
        <w:t>er</w:t>
      </w:r>
      <w:r w:rsidR="00A0486C">
        <w:rPr>
          <w:rFonts w:ascii="Times New Roman" w:hAnsi="Times New Roman" w:cs="Times New Roman"/>
          <w:sz w:val="24"/>
          <w:szCs w:val="24"/>
        </w:rPr>
        <w:t xml:space="preserve"> </w:t>
      </w:r>
      <w:r>
        <w:rPr>
          <w:rFonts w:ascii="Times New Roman" w:hAnsi="Times New Roman" w:cs="Times New Roman"/>
          <w:sz w:val="24"/>
          <w:szCs w:val="24"/>
        </w:rPr>
        <w:t xml:space="preserve">had that imperfection been </w:t>
      </w:r>
      <w:r>
        <w:rPr>
          <w:rFonts w:ascii="Times New Roman" w:hAnsi="Times New Roman" w:cs="Times New Roman"/>
          <w:sz w:val="24"/>
          <w:szCs w:val="24"/>
        </w:rPr>
        <w:lastRenderedPageBreak/>
        <w:t>corrected even though</w:t>
      </w:r>
      <w:r w:rsidR="00A0486C">
        <w:rPr>
          <w:rFonts w:ascii="Times New Roman" w:hAnsi="Times New Roman" w:cs="Times New Roman"/>
          <w:sz w:val="24"/>
          <w:szCs w:val="24"/>
        </w:rPr>
        <w:t>, so constrained,</w:t>
      </w:r>
      <w:r w:rsidR="0069257D">
        <w:rPr>
          <w:rFonts w:ascii="Times New Roman" w:hAnsi="Times New Roman" w:cs="Times New Roman"/>
          <w:sz w:val="24"/>
          <w:szCs w:val="24"/>
        </w:rPr>
        <w:t xml:space="preserve"> </w:t>
      </w:r>
      <w:r>
        <w:rPr>
          <w:rFonts w:ascii="Times New Roman" w:hAnsi="Times New Roman" w:cs="Times New Roman"/>
          <w:sz w:val="24"/>
          <w:szCs w:val="24"/>
        </w:rPr>
        <w:t xml:space="preserve">its share value would be lower.  We also understand </w:t>
      </w:r>
      <w:r w:rsidR="00A0486C">
        <w:rPr>
          <w:rFonts w:ascii="Times New Roman" w:hAnsi="Times New Roman" w:cs="Times New Roman"/>
          <w:sz w:val="24"/>
          <w:szCs w:val="24"/>
        </w:rPr>
        <w:t xml:space="preserve">why the normative attractiveness of </w:t>
      </w:r>
      <w:r>
        <w:rPr>
          <w:rFonts w:ascii="Times New Roman" w:hAnsi="Times New Roman" w:cs="Times New Roman"/>
          <w:sz w:val="24"/>
          <w:szCs w:val="24"/>
        </w:rPr>
        <w:t xml:space="preserve">the alternative ends approach </w:t>
      </w:r>
      <w:r w:rsidR="00A0486C">
        <w:rPr>
          <w:rFonts w:ascii="Times New Roman" w:hAnsi="Times New Roman" w:cs="Times New Roman"/>
          <w:sz w:val="24"/>
          <w:szCs w:val="24"/>
        </w:rPr>
        <w:t xml:space="preserve">has grown </w:t>
      </w:r>
      <w:r>
        <w:rPr>
          <w:rFonts w:ascii="Times New Roman" w:hAnsi="Times New Roman" w:cs="Times New Roman"/>
          <w:sz w:val="24"/>
          <w:szCs w:val="24"/>
        </w:rPr>
        <w:t xml:space="preserve">as </w:t>
      </w:r>
      <w:r w:rsidR="00323151">
        <w:rPr>
          <w:rFonts w:ascii="Times New Roman" w:hAnsi="Times New Roman" w:cs="Times New Roman"/>
          <w:sz w:val="24"/>
          <w:szCs w:val="24"/>
        </w:rPr>
        <w:t xml:space="preserve">the </w:t>
      </w:r>
      <w:r>
        <w:rPr>
          <w:rFonts w:ascii="Times New Roman" w:hAnsi="Times New Roman" w:cs="Times New Roman"/>
          <w:sz w:val="24"/>
          <w:szCs w:val="24"/>
        </w:rPr>
        <w:t>government</w:t>
      </w:r>
      <w:r w:rsidR="00323151">
        <w:rPr>
          <w:rFonts w:ascii="Times New Roman" w:hAnsi="Times New Roman" w:cs="Times New Roman"/>
          <w:sz w:val="24"/>
          <w:szCs w:val="24"/>
        </w:rPr>
        <w:t>al political system</w:t>
      </w:r>
      <w:r>
        <w:rPr>
          <w:rFonts w:ascii="Times New Roman" w:hAnsi="Times New Roman" w:cs="Times New Roman"/>
          <w:sz w:val="24"/>
          <w:szCs w:val="24"/>
        </w:rPr>
        <w:t xml:space="preserve"> has seemed unable to keep up with the </w:t>
      </w:r>
      <w:r w:rsidR="00A0486C">
        <w:rPr>
          <w:rFonts w:ascii="Times New Roman" w:hAnsi="Times New Roman" w:cs="Times New Roman"/>
          <w:sz w:val="24"/>
          <w:szCs w:val="24"/>
        </w:rPr>
        <w:t xml:space="preserve">increasingly </w:t>
      </w:r>
      <w:r>
        <w:rPr>
          <w:rFonts w:ascii="Times New Roman" w:hAnsi="Times New Roman" w:cs="Times New Roman"/>
          <w:sz w:val="24"/>
          <w:szCs w:val="24"/>
        </w:rPr>
        <w:t>negative impact of share value maximiz</w:t>
      </w:r>
      <w:r w:rsidR="00A0486C">
        <w:rPr>
          <w:rFonts w:ascii="Times New Roman" w:hAnsi="Times New Roman" w:cs="Times New Roman"/>
          <w:sz w:val="24"/>
          <w:szCs w:val="24"/>
        </w:rPr>
        <w:t>ing corporate behavior</w:t>
      </w:r>
      <w:r>
        <w:rPr>
          <w:rFonts w:ascii="Times New Roman" w:hAnsi="Times New Roman" w:cs="Times New Roman"/>
          <w:sz w:val="24"/>
          <w:szCs w:val="24"/>
        </w:rPr>
        <w:t xml:space="preserve"> in the presence of</w:t>
      </w:r>
      <w:r w:rsidR="0069257D">
        <w:rPr>
          <w:rFonts w:ascii="Times New Roman" w:hAnsi="Times New Roman" w:cs="Times New Roman"/>
          <w:sz w:val="24"/>
          <w:szCs w:val="24"/>
        </w:rPr>
        <w:t xml:space="preserve"> </w:t>
      </w:r>
      <w:r w:rsidR="00A0486C">
        <w:rPr>
          <w:rFonts w:ascii="Times New Roman" w:hAnsi="Times New Roman" w:cs="Times New Roman"/>
          <w:sz w:val="24"/>
          <w:szCs w:val="24"/>
        </w:rPr>
        <w:t>uncorrected m</w:t>
      </w:r>
      <w:r>
        <w:rPr>
          <w:rFonts w:ascii="Times New Roman" w:hAnsi="Times New Roman" w:cs="Times New Roman"/>
          <w:sz w:val="24"/>
          <w:szCs w:val="24"/>
        </w:rPr>
        <w:t xml:space="preserve">arket imperfections and </w:t>
      </w:r>
      <w:r w:rsidR="00323151">
        <w:rPr>
          <w:rFonts w:ascii="Times New Roman" w:hAnsi="Times New Roman" w:cs="Times New Roman"/>
          <w:sz w:val="24"/>
          <w:szCs w:val="24"/>
        </w:rPr>
        <w:t xml:space="preserve">with </w:t>
      </w:r>
      <w:r>
        <w:rPr>
          <w:rFonts w:ascii="Times New Roman" w:hAnsi="Times New Roman" w:cs="Times New Roman"/>
          <w:sz w:val="24"/>
          <w:szCs w:val="24"/>
        </w:rPr>
        <w:t xml:space="preserve">the </w:t>
      </w:r>
      <w:r w:rsidR="00A0486C">
        <w:rPr>
          <w:rFonts w:ascii="Times New Roman" w:hAnsi="Times New Roman" w:cs="Times New Roman"/>
          <w:sz w:val="24"/>
          <w:szCs w:val="24"/>
        </w:rPr>
        <w:t>increase</w:t>
      </w:r>
      <w:r>
        <w:rPr>
          <w:rFonts w:ascii="Times New Roman" w:hAnsi="Times New Roman" w:cs="Times New Roman"/>
          <w:sz w:val="24"/>
          <w:szCs w:val="24"/>
        </w:rPr>
        <w:t xml:space="preserve"> in inequality.</w:t>
      </w:r>
    </w:p>
    <w:p w14:paraId="0C45BE91" w14:textId="068710D2" w:rsidR="00856A34" w:rsidRDefault="006C6540" w:rsidP="0069257D">
      <w:pPr>
        <w:spacing w:after="0" w:line="480" w:lineRule="auto"/>
        <w:ind w:right="90" w:firstLine="720"/>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Nevertheless, the analysis here suggests efficiency and equity in the economy </w:t>
      </w:r>
      <w:r w:rsidR="00323151">
        <w:rPr>
          <w:rFonts w:ascii="Times New Roman" w:hAnsi="Times New Roman" w:cs="Times New Roman"/>
          <w:kern w:val="0"/>
          <w:sz w:val="24"/>
          <w:szCs w:val="24"/>
          <w14:ligatures w14:val="none"/>
        </w:rPr>
        <w:t xml:space="preserve">overall </w:t>
      </w:r>
      <w:r>
        <w:rPr>
          <w:rFonts w:ascii="Times New Roman" w:hAnsi="Times New Roman" w:cs="Times New Roman"/>
          <w:kern w:val="0"/>
          <w:sz w:val="24"/>
          <w:szCs w:val="24"/>
          <w14:ligatures w14:val="none"/>
        </w:rPr>
        <w:t xml:space="preserve">will not be advanced by two of the prominently discussed kinds of fundamental changes in corporate governance arrangements:  broadening the scope of the shareholder franchise to allow for votes concerning specific business decisions and </w:t>
      </w:r>
      <w:r w:rsidR="00323151">
        <w:rPr>
          <w:rFonts w:ascii="Times New Roman" w:hAnsi="Times New Roman" w:cs="Times New Roman"/>
          <w:kern w:val="0"/>
          <w:sz w:val="24"/>
          <w:szCs w:val="24"/>
          <w14:ligatures w14:val="none"/>
        </w:rPr>
        <w:t>softening the sticks and carrots that incentivize managers to maximize share value and softening the sticks and carrots that incentivize managers to maximize share value.</w:t>
      </w:r>
      <w:r w:rsidR="001F0A3B">
        <w:rPr>
          <w:rStyle w:val="FootnoteReference"/>
          <w:rFonts w:ascii="Times New Roman" w:hAnsi="Times New Roman" w:cs="Times New Roman"/>
          <w:kern w:val="0"/>
          <w:sz w:val="24"/>
          <w:szCs w:val="24"/>
          <w14:ligatures w14:val="none"/>
        </w:rPr>
        <w:footnoteReference w:id="133"/>
      </w:r>
      <w:r>
        <w:rPr>
          <w:rFonts w:ascii="Times New Roman" w:hAnsi="Times New Roman" w:cs="Times New Roman"/>
          <w:sz w:val="24"/>
          <w:szCs w:val="24"/>
        </w:rPr>
        <w:t xml:space="preserve">  Commentators have suggested many other fundamental changes in current corporate governance arrangements besides these two.</w:t>
      </w:r>
      <w:r>
        <w:rPr>
          <w:rStyle w:val="FootnoteReference"/>
          <w:rFonts w:ascii="Times New Roman" w:hAnsi="Times New Roman" w:cs="Times New Roman"/>
          <w:sz w:val="24"/>
          <w:szCs w:val="24"/>
        </w:rPr>
        <w:footnoteReference w:id="134"/>
      </w:r>
      <w:r>
        <w:rPr>
          <w:rFonts w:ascii="Times New Roman" w:hAnsi="Times New Roman" w:cs="Times New Roman"/>
          <w:sz w:val="24"/>
          <w:szCs w:val="24"/>
        </w:rPr>
        <w:t xml:space="preserve">  Evaluating how effective these </w:t>
      </w:r>
      <w:r>
        <w:rPr>
          <w:rFonts w:ascii="Times New Roman" w:hAnsi="Times New Roman" w:cs="Times New Roman"/>
          <w:sz w:val="24"/>
          <w:szCs w:val="24"/>
        </w:rPr>
        <w:lastRenderedPageBreak/>
        <w:t>other alternatives would be at meeting these challenges and what their costs would be is beyond the scope of this paper, other than to observe that the existence of incipient socially minded shareholder preferences to deviate from share value maximization in favor of some other end will probably not affect that evaluation very much.</w:t>
      </w:r>
      <w:r w:rsidR="00856A34">
        <w:rPr>
          <w:rFonts w:ascii="Times New Roman" w:hAnsi="Times New Roman" w:cs="Times New Roman"/>
          <w:sz w:val="24"/>
          <w:szCs w:val="24"/>
        </w:rPr>
        <w:t xml:space="preserve"> </w:t>
      </w:r>
      <w:r w:rsidR="001131C3">
        <w:rPr>
          <w:rFonts w:ascii="Times New Roman" w:hAnsi="Times New Roman" w:cs="Times New Roman"/>
          <w:sz w:val="24"/>
          <w:szCs w:val="24"/>
        </w:rPr>
        <w:t xml:space="preserve">Moreover, </w:t>
      </w:r>
      <w:r w:rsidR="00EE612F">
        <w:rPr>
          <w:rFonts w:ascii="Times New Roman" w:hAnsi="Times New Roman" w:cs="Times New Roman"/>
          <w:sz w:val="24"/>
          <w:szCs w:val="24"/>
        </w:rPr>
        <w:t xml:space="preserve">it is not clear </w:t>
      </w:r>
      <w:r w:rsidR="001131C3">
        <w:rPr>
          <w:rFonts w:ascii="Times New Roman" w:hAnsi="Times New Roman" w:cs="Times New Roman"/>
          <w:sz w:val="24"/>
          <w:szCs w:val="24"/>
        </w:rPr>
        <w:t xml:space="preserve">that any </w:t>
      </w:r>
      <w:r w:rsidR="00EE612F">
        <w:rPr>
          <w:rFonts w:ascii="Times New Roman" w:hAnsi="Times New Roman" w:cs="Times New Roman"/>
          <w:sz w:val="24"/>
          <w:szCs w:val="24"/>
        </w:rPr>
        <w:t xml:space="preserve">kind of </w:t>
      </w:r>
      <w:r w:rsidR="001131C3">
        <w:rPr>
          <w:rFonts w:ascii="Times New Roman" w:hAnsi="Times New Roman" w:cs="Times New Roman"/>
          <w:sz w:val="24"/>
          <w:szCs w:val="24"/>
        </w:rPr>
        <w:t xml:space="preserve">fundamental alteration in current corporate governance arrangements </w:t>
      </w:r>
      <w:r w:rsidR="00EE612F">
        <w:rPr>
          <w:rFonts w:ascii="Times New Roman" w:hAnsi="Times New Roman" w:cs="Times New Roman"/>
          <w:sz w:val="24"/>
          <w:szCs w:val="24"/>
        </w:rPr>
        <w:t xml:space="preserve">is likely. If no such </w:t>
      </w:r>
      <w:r w:rsidR="0069257D">
        <w:rPr>
          <w:rFonts w:ascii="Times New Roman" w:hAnsi="Times New Roman" w:cs="Times New Roman"/>
          <w:sz w:val="24"/>
          <w:szCs w:val="24"/>
        </w:rPr>
        <w:t>alteration</w:t>
      </w:r>
      <w:r w:rsidR="00EE612F">
        <w:rPr>
          <w:rFonts w:ascii="Times New Roman" w:hAnsi="Times New Roman" w:cs="Times New Roman"/>
          <w:sz w:val="24"/>
          <w:szCs w:val="24"/>
        </w:rPr>
        <w:t xml:space="preserve"> is likely, o</w:t>
      </w:r>
      <w:r w:rsidR="001131C3">
        <w:rPr>
          <w:rFonts w:ascii="Times New Roman" w:hAnsi="Times New Roman" w:cs="Times New Roman"/>
          <w:sz w:val="24"/>
          <w:szCs w:val="24"/>
        </w:rPr>
        <w:t xml:space="preserve">ur conclusion that without </w:t>
      </w:r>
      <w:r w:rsidR="00EE612F">
        <w:rPr>
          <w:rFonts w:ascii="Times New Roman" w:hAnsi="Times New Roman" w:cs="Times New Roman"/>
          <w:sz w:val="24"/>
          <w:szCs w:val="24"/>
        </w:rPr>
        <w:t xml:space="preserve">one a corporation will probably not deviate from share value maximizing behavior even if a significant </w:t>
      </w:r>
      <w:r w:rsidR="001131C3">
        <w:rPr>
          <w:rFonts w:ascii="Times New Roman" w:hAnsi="Times New Roman" w:cs="Times New Roman"/>
          <w:sz w:val="24"/>
          <w:szCs w:val="24"/>
        </w:rPr>
        <w:t xml:space="preserve">portion of </w:t>
      </w:r>
      <w:r w:rsidR="00EE612F">
        <w:rPr>
          <w:rFonts w:ascii="Times New Roman" w:hAnsi="Times New Roman" w:cs="Times New Roman"/>
          <w:sz w:val="24"/>
          <w:szCs w:val="24"/>
        </w:rPr>
        <w:t xml:space="preserve">its shareholders would, if fully informed, wish it do so, suggests that </w:t>
      </w:r>
      <w:r w:rsidR="001131C3">
        <w:rPr>
          <w:rFonts w:ascii="Times New Roman" w:hAnsi="Times New Roman" w:cs="Times New Roman"/>
          <w:kern w:val="0"/>
          <w:sz w:val="24"/>
          <w:szCs w:val="24"/>
          <w14:ligatures w14:val="none"/>
        </w:rPr>
        <w:t xml:space="preserve">it would be better to steer </w:t>
      </w:r>
      <w:r w:rsidR="00EE612F">
        <w:rPr>
          <w:rFonts w:ascii="Times New Roman" w:hAnsi="Times New Roman" w:cs="Times New Roman"/>
          <w:kern w:val="0"/>
          <w:sz w:val="24"/>
          <w:szCs w:val="24"/>
          <w14:ligatures w14:val="none"/>
        </w:rPr>
        <w:t xml:space="preserve">in other directions </w:t>
      </w:r>
      <w:r w:rsidR="001131C3">
        <w:rPr>
          <w:rFonts w:ascii="Times New Roman" w:hAnsi="Times New Roman" w:cs="Times New Roman"/>
          <w:kern w:val="0"/>
          <w:sz w:val="24"/>
          <w:szCs w:val="24"/>
          <w14:ligatures w14:val="none"/>
        </w:rPr>
        <w:t xml:space="preserve">policy analysis concerning how to correct for problems </w:t>
      </w:r>
      <w:r w:rsidR="00EE612F">
        <w:rPr>
          <w:rFonts w:ascii="Times New Roman" w:hAnsi="Times New Roman" w:cs="Times New Roman"/>
          <w:kern w:val="0"/>
          <w:sz w:val="24"/>
          <w:szCs w:val="24"/>
          <w14:ligatures w14:val="none"/>
        </w:rPr>
        <w:t xml:space="preserve">in </w:t>
      </w:r>
      <w:r w:rsidR="001131C3">
        <w:rPr>
          <w:rFonts w:ascii="Times New Roman" w:hAnsi="Times New Roman" w:cs="Times New Roman"/>
          <w:kern w:val="0"/>
          <w:sz w:val="24"/>
          <w:szCs w:val="24"/>
          <w14:ligatures w14:val="none"/>
        </w:rPr>
        <w:t>corporate behavior</w:t>
      </w:r>
      <w:r w:rsidR="00EE612F">
        <w:rPr>
          <w:rFonts w:ascii="Times New Roman" w:hAnsi="Times New Roman" w:cs="Times New Roman"/>
          <w:kern w:val="0"/>
          <w:sz w:val="24"/>
          <w:szCs w:val="24"/>
          <w14:ligatures w14:val="none"/>
        </w:rPr>
        <w:t xml:space="preserve">. </w:t>
      </w:r>
      <w:r w:rsidR="001131C3">
        <w:rPr>
          <w:rFonts w:ascii="Times New Roman" w:hAnsi="Times New Roman" w:cs="Times New Roman"/>
          <w:sz w:val="24"/>
          <w:szCs w:val="24"/>
        </w:rPr>
        <w:t xml:space="preserve">   </w:t>
      </w:r>
    </w:p>
    <w:p w14:paraId="563B085C" w14:textId="14830F2D" w:rsidR="00D41EE3" w:rsidRPr="008476AA" w:rsidRDefault="00D41EE3" w:rsidP="00E472CF">
      <w:pPr>
        <w:spacing w:after="0" w:line="480" w:lineRule="auto"/>
        <w:ind w:right="90"/>
        <w:jc w:val="center"/>
        <w:rPr>
          <w:rFonts w:ascii="Times New Roman" w:hAnsi="Times New Roman" w:cs="Times New Roman"/>
          <w:b/>
          <w:bCs/>
          <w:sz w:val="24"/>
          <w:szCs w:val="24"/>
        </w:rPr>
      </w:pPr>
      <w:r w:rsidRPr="008476AA">
        <w:rPr>
          <w:rFonts w:ascii="Times New Roman" w:hAnsi="Times New Roman" w:cs="Times New Roman"/>
          <w:b/>
          <w:bCs/>
          <w:sz w:val="24"/>
          <w:szCs w:val="24"/>
        </w:rPr>
        <w:t>V. Conclusion</w:t>
      </w:r>
    </w:p>
    <w:p w14:paraId="4EA3D8E3" w14:textId="2D60D946" w:rsidR="00FC49BA" w:rsidRPr="00853211" w:rsidRDefault="00FC49BA" w:rsidP="00FC49BA">
      <w:pPr>
        <w:spacing w:after="0" w:line="480" w:lineRule="auto"/>
        <w:ind w:right="90" w:firstLine="720"/>
        <w:jc w:val="both"/>
        <w:rPr>
          <w:rFonts w:ascii="Times New Roman" w:hAnsi="Times New Roman" w:cs="Times New Roman"/>
          <w:sz w:val="24"/>
          <w:szCs w:val="24"/>
        </w:rPr>
      </w:pPr>
      <w:r w:rsidRPr="00853211">
        <w:rPr>
          <w:rFonts w:ascii="Times New Roman" w:hAnsi="Times New Roman" w:cs="Times New Roman"/>
          <w:sz w:val="24"/>
          <w:szCs w:val="24"/>
        </w:rPr>
        <w:t>Investor</w:t>
      </w:r>
      <w:r>
        <w:rPr>
          <w:rFonts w:ascii="Times New Roman" w:hAnsi="Times New Roman" w:cs="Times New Roman"/>
          <w:sz w:val="24"/>
          <w:szCs w:val="24"/>
        </w:rPr>
        <w:t xml:space="preserve">s </w:t>
      </w:r>
      <w:r w:rsidR="00484FEE">
        <w:rPr>
          <w:rFonts w:ascii="Times New Roman" w:hAnsi="Times New Roman" w:cs="Times New Roman"/>
          <w:sz w:val="24"/>
          <w:szCs w:val="24"/>
        </w:rPr>
        <w:t>have dissimilar</w:t>
      </w:r>
      <w:r w:rsidR="00E6461A" w:rsidRPr="00853211">
        <w:rPr>
          <w:rFonts w:ascii="Times New Roman" w:hAnsi="Times New Roman" w:cs="Times New Roman"/>
          <w:sz w:val="24"/>
          <w:szCs w:val="24"/>
        </w:rPr>
        <w:t xml:space="preserve"> </w:t>
      </w:r>
      <w:r w:rsidRPr="00853211">
        <w:rPr>
          <w:rFonts w:ascii="Times New Roman" w:hAnsi="Times New Roman" w:cs="Times New Roman"/>
          <w:sz w:val="24"/>
          <w:szCs w:val="24"/>
        </w:rPr>
        <w:t>preferences</w:t>
      </w:r>
      <w:r w:rsidR="00796064">
        <w:rPr>
          <w:rFonts w:ascii="Times New Roman" w:hAnsi="Times New Roman" w:cs="Times New Roman"/>
          <w:sz w:val="24"/>
          <w:szCs w:val="24"/>
        </w:rPr>
        <w:t xml:space="preserve">. </w:t>
      </w:r>
      <w:r w:rsidRPr="00853211">
        <w:rPr>
          <w:rFonts w:ascii="Times New Roman" w:hAnsi="Times New Roman" w:cs="Times New Roman"/>
          <w:sz w:val="24"/>
          <w:szCs w:val="24"/>
        </w:rPr>
        <w:t xml:space="preserve">While some investors prefer that companies singularly focus on the pursuit of profit and share value maximization, other investors feel differently and </w:t>
      </w:r>
      <w:r w:rsidR="00E6461A">
        <w:rPr>
          <w:rFonts w:ascii="Times New Roman" w:hAnsi="Times New Roman" w:cs="Times New Roman"/>
          <w:sz w:val="24"/>
          <w:szCs w:val="24"/>
        </w:rPr>
        <w:t>want</w:t>
      </w:r>
      <w:r w:rsidRPr="00853211">
        <w:rPr>
          <w:rFonts w:ascii="Times New Roman" w:hAnsi="Times New Roman" w:cs="Times New Roman"/>
          <w:sz w:val="24"/>
          <w:szCs w:val="24"/>
        </w:rPr>
        <w:t xml:space="preserve"> companies </w:t>
      </w:r>
      <w:r w:rsidR="00E6461A">
        <w:rPr>
          <w:rFonts w:ascii="Times New Roman" w:hAnsi="Times New Roman" w:cs="Times New Roman"/>
          <w:sz w:val="24"/>
          <w:szCs w:val="24"/>
        </w:rPr>
        <w:t xml:space="preserve">to </w:t>
      </w:r>
      <w:r w:rsidRPr="00853211">
        <w:rPr>
          <w:rFonts w:ascii="Times New Roman" w:hAnsi="Times New Roman" w:cs="Times New Roman"/>
          <w:sz w:val="24"/>
          <w:szCs w:val="24"/>
        </w:rPr>
        <w:t>sacrifice profit and share value in service to some other objective</w:t>
      </w:r>
      <w:r w:rsidR="00796064">
        <w:rPr>
          <w:rFonts w:ascii="Times New Roman" w:hAnsi="Times New Roman" w:cs="Times New Roman"/>
          <w:sz w:val="24"/>
          <w:szCs w:val="24"/>
        </w:rPr>
        <w:t xml:space="preserve">. </w:t>
      </w:r>
      <w:r w:rsidRPr="00853211">
        <w:rPr>
          <w:rFonts w:ascii="Times New Roman" w:hAnsi="Times New Roman" w:cs="Times New Roman"/>
          <w:sz w:val="24"/>
          <w:szCs w:val="24"/>
        </w:rPr>
        <w:t xml:space="preserve">Examples abound. Consider a company whose business operations results in the firm generating an externality in the form of excessive greenhouse gas emissions. Actual or potential shareholders of the company may want the company to abate those emissions even if that externality amelioration comes at the expense of the company’s profitability and share value. As </w:t>
      </w:r>
      <w:r w:rsidRPr="00853211">
        <w:rPr>
          <w:rFonts w:ascii="Times New Roman" w:hAnsi="Times New Roman" w:cs="Times New Roman"/>
          <w:sz w:val="24"/>
          <w:szCs w:val="24"/>
        </w:rPr>
        <w:lastRenderedPageBreak/>
        <w:t xml:space="preserve">our country’s social and environmental problems have grown in both scope and depth, and as faith in </w:t>
      </w:r>
      <w:r>
        <w:rPr>
          <w:rFonts w:ascii="Times New Roman" w:hAnsi="Times New Roman" w:cs="Times New Roman"/>
          <w:sz w:val="24"/>
          <w:szCs w:val="24"/>
        </w:rPr>
        <w:t xml:space="preserve">the </w:t>
      </w:r>
      <w:r w:rsidRPr="00853211">
        <w:rPr>
          <w:rFonts w:ascii="Times New Roman" w:hAnsi="Times New Roman" w:cs="Times New Roman"/>
          <w:sz w:val="24"/>
          <w:szCs w:val="24"/>
        </w:rPr>
        <w:t xml:space="preserve">curative abilities of the political process has waned, investors appear increasingly willing to trade corporate profits for corporate decisions that can aid in the correction of the many social and environmental problems that are now commonplace. </w:t>
      </w:r>
    </w:p>
    <w:p w14:paraId="7EC46476" w14:textId="717627D7" w:rsidR="00FC49BA" w:rsidRPr="00853211" w:rsidRDefault="00FC49BA" w:rsidP="00FC49BA">
      <w:pPr>
        <w:spacing w:after="0" w:line="480" w:lineRule="auto"/>
        <w:ind w:right="90" w:firstLine="720"/>
        <w:jc w:val="both"/>
        <w:rPr>
          <w:rFonts w:ascii="Times New Roman" w:hAnsi="Times New Roman" w:cs="Times New Roman"/>
          <w:sz w:val="24"/>
          <w:szCs w:val="24"/>
        </w:rPr>
      </w:pPr>
      <w:r w:rsidRPr="00853211">
        <w:rPr>
          <w:rFonts w:ascii="Times New Roman" w:hAnsi="Times New Roman" w:cs="Times New Roman"/>
          <w:sz w:val="24"/>
          <w:szCs w:val="24"/>
        </w:rPr>
        <w:t xml:space="preserve">Will these differing investor preferences actually affect firm behavior? More precisely, if the preferences of the economy’s equity investors are divergent, how will firm behavior be different than in the counterfactual world in which investors had homogenous preferences and all </w:t>
      </w:r>
      <w:r>
        <w:rPr>
          <w:rFonts w:ascii="Times New Roman" w:hAnsi="Times New Roman" w:cs="Times New Roman"/>
          <w:sz w:val="24"/>
          <w:szCs w:val="24"/>
        </w:rPr>
        <w:t xml:space="preserve">investors </w:t>
      </w:r>
      <w:r w:rsidRPr="00853211">
        <w:rPr>
          <w:rFonts w:ascii="Times New Roman" w:hAnsi="Times New Roman" w:cs="Times New Roman"/>
          <w:sz w:val="24"/>
          <w:szCs w:val="24"/>
        </w:rPr>
        <w:t>preferred that firms focus solely on share value maximization</w:t>
      </w:r>
      <w:r w:rsidR="00796064">
        <w:rPr>
          <w:rFonts w:ascii="Times New Roman" w:hAnsi="Times New Roman" w:cs="Times New Roman"/>
          <w:sz w:val="24"/>
          <w:szCs w:val="24"/>
        </w:rPr>
        <w:t xml:space="preserve">. </w:t>
      </w:r>
      <w:r w:rsidRPr="00853211">
        <w:rPr>
          <w:rFonts w:ascii="Times New Roman" w:hAnsi="Times New Roman" w:cs="Times New Roman"/>
          <w:sz w:val="24"/>
          <w:szCs w:val="24"/>
        </w:rPr>
        <w:t xml:space="preserve">This article </w:t>
      </w:r>
      <w:r>
        <w:rPr>
          <w:rFonts w:ascii="Times New Roman" w:hAnsi="Times New Roman" w:cs="Times New Roman"/>
          <w:sz w:val="24"/>
          <w:szCs w:val="24"/>
        </w:rPr>
        <w:t xml:space="preserve">has </w:t>
      </w:r>
      <w:r w:rsidRPr="00853211">
        <w:rPr>
          <w:rFonts w:ascii="Times New Roman" w:hAnsi="Times New Roman" w:cs="Times New Roman"/>
          <w:sz w:val="24"/>
          <w:szCs w:val="24"/>
        </w:rPr>
        <w:t>sought to make some headway towards answering that foundational question with a focus on the country’s dominant form of productive enterprise—the dispersed ownership publicly traded for-profit corporation with investors as its residual claimant.</w:t>
      </w:r>
    </w:p>
    <w:p w14:paraId="4F4F0791" w14:textId="7302616C" w:rsidR="00FC49BA" w:rsidRPr="00853211" w:rsidRDefault="00FC49BA" w:rsidP="00FC49BA">
      <w:pPr>
        <w:spacing w:after="0" w:line="480" w:lineRule="auto"/>
        <w:ind w:right="90" w:firstLine="720"/>
        <w:jc w:val="both"/>
        <w:rPr>
          <w:rFonts w:ascii="Times New Roman" w:hAnsi="Times New Roman" w:cs="Times New Roman"/>
          <w:sz w:val="24"/>
          <w:szCs w:val="24"/>
        </w:rPr>
      </w:pPr>
      <w:r w:rsidRPr="00853211">
        <w:rPr>
          <w:rFonts w:ascii="Times New Roman" w:hAnsi="Times New Roman" w:cs="Times New Roman"/>
          <w:sz w:val="24"/>
          <w:szCs w:val="24"/>
        </w:rPr>
        <w:t xml:space="preserve">As a framing for its substantive analysis, the article first developed a taxonomy of categories of matters over which investors might have </w:t>
      </w:r>
      <w:r>
        <w:rPr>
          <w:rFonts w:ascii="Times New Roman" w:hAnsi="Times New Roman" w:cs="Times New Roman"/>
          <w:sz w:val="24"/>
          <w:szCs w:val="24"/>
        </w:rPr>
        <w:t>conflicting</w:t>
      </w:r>
      <w:r w:rsidRPr="00853211">
        <w:rPr>
          <w:rFonts w:ascii="Times New Roman" w:hAnsi="Times New Roman" w:cs="Times New Roman"/>
          <w:sz w:val="24"/>
          <w:szCs w:val="24"/>
        </w:rPr>
        <w:t xml:space="preserve"> preferences with respect to share value maximization: (1) the extent to which a given corporation should deviate from share value maximization to correct a market imperfection</w:t>
      </w:r>
      <w:r>
        <w:rPr>
          <w:rFonts w:ascii="Times New Roman" w:hAnsi="Times New Roman" w:cs="Times New Roman"/>
          <w:sz w:val="24"/>
          <w:szCs w:val="24"/>
        </w:rPr>
        <w:t>, such as a firm-generated externality</w:t>
      </w:r>
      <w:r w:rsidRPr="00853211">
        <w:rPr>
          <w:rFonts w:ascii="Times New Roman" w:hAnsi="Times New Roman" w:cs="Times New Roman"/>
          <w:sz w:val="24"/>
          <w:szCs w:val="24"/>
        </w:rPr>
        <w:t xml:space="preserve">; (2) the extent to which a given corporation should deviate from share value maximization in order to redistribute wealth; </w:t>
      </w:r>
      <w:r>
        <w:rPr>
          <w:rFonts w:ascii="Times New Roman" w:hAnsi="Times New Roman" w:cs="Times New Roman"/>
          <w:sz w:val="24"/>
          <w:szCs w:val="24"/>
        </w:rPr>
        <w:t xml:space="preserve">and </w:t>
      </w:r>
      <w:r w:rsidRPr="00853211">
        <w:rPr>
          <w:rFonts w:ascii="Times New Roman" w:hAnsi="Times New Roman" w:cs="Times New Roman"/>
          <w:sz w:val="24"/>
          <w:szCs w:val="24"/>
        </w:rPr>
        <w:t>(3) the extent to which a given corporation should deviate from share value maximization so that the investor can benefit materially in ways other than the provision of dividends or capital gains</w:t>
      </w:r>
      <w:r w:rsidR="00796064">
        <w:rPr>
          <w:rFonts w:ascii="Times New Roman" w:hAnsi="Times New Roman" w:cs="Times New Roman"/>
          <w:sz w:val="24"/>
          <w:szCs w:val="24"/>
        </w:rPr>
        <w:t xml:space="preserve">. </w:t>
      </w:r>
      <w:r>
        <w:rPr>
          <w:rFonts w:ascii="Times New Roman" w:hAnsi="Times New Roman" w:cs="Times New Roman"/>
          <w:sz w:val="24"/>
          <w:szCs w:val="24"/>
        </w:rPr>
        <w:t>While we consider these three categories to be exhaustive, they are not mutually exclusive, as an investor’s specific reasons for wanting a given firm to deviate from share value maximization may fall within more than one of the three categories</w:t>
      </w:r>
      <w:r w:rsidR="0079606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53211">
        <w:rPr>
          <w:rFonts w:ascii="Times New Roman" w:hAnsi="Times New Roman" w:cs="Times New Roman"/>
          <w:sz w:val="24"/>
          <w:szCs w:val="24"/>
        </w:rPr>
        <w:t xml:space="preserve"> </w:t>
      </w:r>
    </w:p>
    <w:p w14:paraId="25E21387" w14:textId="0B31C18D" w:rsidR="00FC49BA" w:rsidRDefault="00FC49BA" w:rsidP="00FC49BA">
      <w:pPr>
        <w:spacing w:after="0" w:line="480" w:lineRule="auto"/>
        <w:ind w:right="90" w:firstLine="720"/>
        <w:jc w:val="both"/>
        <w:rPr>
          <w:rFonts w:ascii="Times New Roman" w:hAnsi="Times New Roman" w:cs="Times New Roman"/>
          <w:sz w:val="24"/>
          <w:szCs w:val="24"/>
        </w:rPr>
      </w:pPr>
      <w:r w:rsidRPr="00853211">
        <w:rPr>
          <w:rFonts w:ascii="Times New Roman" w:hAnsi="Times New Roman" w:cs="Times New Roman"/>
          <w:sz w:val="24"/>
          <w:szCs w:val="24"/>
        </w:rPr>
        <w:t xml:space="preserve">The article’s mode of analysis </w:t>
      </w:r>
      <w:r>
        <w:rPr>
          <w:rFonts w:ascii="Times New Roman" w:hAnsi="Times New Roman" w:cs="Times New Roman"/>
          <w:sz w:val="24"/>
          <w:szCs w:val="24"/>
        </w:rPr>
        <w:t>is</w:t>
      </w:r>
      <w:r w:rsidRPr="00853211">
        <w:rPr>
          <w:rFonts w:ascii="Times New Roman" w:hAnsi="Times New Roman" w:cs="Times New Roman"/>
          <w:sz w:val="24"/>
          <w:szCs w:val="24"/>
        </w:rPr>
        <w:t xml:space="preserve"> grounded in the proposition that the question of </w:t>
      </w:r>
      <w:r>
        <w:rPr>
          <w:rFonts w:ascii="Times New Roman" w:hAnsi="Times New Roman" w:cs="Times New Roman"/>
          <w:sz w:val="24"/>
          <w:szCs w:val="24"/>
        </w:rPr>
        <w:t xml:space="preserve">how equity </w:t>
      </w:r>
      <w:r w:rsidRPr="00853211">
        <w:rPr>
          <w:rFonts w:ascii="Times New Roman" w:hAnsi="Times New Roman" w:cs="Times New Roman"/>
          <w:sz w:val="24"/>
          <w:szCs w:val="24"/>
        </w:rPr>
        <w:t xml:space="preserve">investor preference heterogeneity </w:t>
      </w:r>
      <w:r>
        <w:rPr>
          <w:rFonts w:ascii="Times New Roman" w:hAnsi="Times New Roman" w:cs="Times New Roman"/>
          <w:sz w:val="24"/>
          <w:szCs w:val="24"/>
        </w:rPr>
        <w:t xml:space="preserve">affects </w:t>
      </w:r>
      <w:r w:rsidRPr="00853211">
        <w:rPr>
          <w:rFonts w:ascii="Times New Roman" w:hAnsi="Times New Roman" w:cs="Times New Roman"/>
          <w:sz w:val="24"/>
          <w:szCs w:val="24"/>
        </w:rPr>
        <w:t xml:space="preserve">firm behavior must </w:t>
      </w:r>
      <w:r>
        <w:rPr>
          <w:rFonts w:ascii="Times New Roman" w:hAnsi="Times New Roman" w:cs="Times New Roman"/>
          <w:sz w:val="24"/>
          <w:szCs w:val="24"/>
        </w:rPr>
        <w:t xml:space="preserve">ultimately be seen in terms </w:t>
      </w:r>
      <w:r>
        <w:rPr>
          <w:rFonts w:ascii="Times New Roman" w:hAnsi="Times New Roman" w:cs="Times New Roman"/>
          <w:sz w:val="24"/>
          <w:szCs w:val="24"/>
        </w:rPr>
        <w:lastRenderedPageBreak/>
        <w:t xml:space="preserve">of </w:t>
      </w:r>
      <w:r w:rsidRPr="00853211">
        <w:rPr>
          <w:rFonts w:ascii="Times New Roman" w:hAnsi="Times New Roman" w:cs="Times New Roman"/>
          <w:sz w:val="24"/>
          <w:szCs w:val="24"/>
        </w:rPr>
        <w:t xml:space="preserve">how </w:t>
      </w:r>
      <w:r>
        <w:rPr>
          <w:rFonts w:ascii="Times New Roman" w:hAnsi="Times New Roman" w:cs="Times New Roman"/>
          <w:sz w:val="24"/>
          <w:szCs w:val="24"/>
        </w:rPr>
        <w:t xml:space="preserve">it </w:t>
      </w:r>
      <w:r w:rsidRPr="00853211">
        <w:rPr>
          <w:rFonts w:ascii="Times New Roman" w:hAnsi="Times New Roman" w:cs="Times New Roman"/>
          <w:sz w:val="24"/>
          <w:szCs w:val="24"/>
        </w:rPr>
        <w:t xml:space="preserve">affects </w:t>
      </w:r>
      <w:r w:rsidRPr="00853211">
        <w:rPr>
          <w:rFonts w:ascii="Times New Roman" w:hAnsi="Times New Roman" w:cs="Times New Roman"/>
          <w:i/>
          <w:iCs/>
          <w:sz w:val="24"/>
          <w:szCs w:val="24"/>
        </w:rPr>
        <w:t xml:space="preserve">managerial </w:t>
      </w:r>
      <w:r w:rsidRPr="00853211">
        <w:rPr>
          <w:rFonts w:ascii="Times New Roman" w:hAnsi="Times New Roman" w:cs="Times New Roman"/>
          <w:sz w:val="24"/>
          <w:szCs w:val="24"/>
        </w:rPr>
        <w:t>decision-making</w:t>
      </w:r>
      <w:r w:rsidR="00796064">
        <w:rPr>
          <w:rFonts w:ascii="Times New Roman" w:hAnsi="Times New Roman" w:cs="Times New Roman"/>
          <w:sz w:val="24"/>
          <w:szCs w:val="24"/>
        </w:rPr>
        <w:t xml:space="preserve">. </w:t>
      </w:r>
      <w:r>
        <w:rPr>
          <w:rFonts w:ascii="Times New Roman" w:hAnsi="Times New Roman" w:cs="Times New Roman"/>
          <w:sz w:val="24"/>
          <w:szCs w:val="24"/>
        </w:rPr>
        <w:t>This is because</w:t>
      </w:r>
      <w:r w:rsidRPr="00853211">
        <w:rPr>
          <w:rFonts w:ascii="Times New Roman" w:hAnsi="Times New Roman" w:cs="Times New Roman"/>
          <w:sz w:val="24"/>
          <w:szCs w:val="24"/>
        </w:rPr>
        <w:t xml:space="preserve"> a firm’s decisions are </w:t>
      </w:r>
      <w:r>
        <w:rPr>
          <w:rFonts w:ascii="Times New Roman" w:hAnsi="Times New Roman" w:cs="Times New Roman"/>
          <w:sz w:val="24"/>
          <w:szCs w:val="24"/>
        </w:rPr>
        <w:t xml:space="preserve">in the first instance </w:t>
      </w:r>
      <w:r w:rsidRPr="00853211">
        <w:rPr>
          <w:rFonts w:ascii="Times New Roman" w:hAnsi="Times New Roman" w:cs="Times New Roman"/>
          <w:sz w:val="24"/>
          <w:szCs w:val="24"/>
        </w:rPr>
        <w:t xml:space="preserve">made by </w:t>
      </w:r>
      <w:r>
        <w:rPr>
          <w:rFonts w:ascii="Times New Roman" w:hAnsi="Times New Roman" w:cs="Times New Roman"/>
          <w:sz w:val="24"/>
          <w:szCs w:val="24"/>
        </w:rPr>
        <w:t xml:space="preserve">its </w:t>
      </w:r>
      <w:r w:rsidRPr="00853211">
        <w:rPr>
          <w:rFonts w:ascii="Times New Roman" w:hAnsi="Times New Roman" w:cs="Times New Roman"/>
          <w:sz w:val="24"/>
          <w:szCs w:val="24"/>
        </w:rPr>
        <w:t>managers</w:t>
      </w:r>
      <w:r>
        <w:rPr>
          <w:rFonts w:ascii="Times New Roman" w:hAnsi="Times New Roman" w:cs="Times New Roman"/>
          <w:sz w:val="24"/>
          <w:szCs w:val="24"/>
        </w:rPr>
        <w:t>,</w:t>
      </w:r>
      <w:r w:rsidRPr="00853211">
        <w:rPr>
          <w:rFonts w:ascii="Times New Roman" w:hAnsi="Times New Roman" w:cs="Times New Roman"/>
          <w:sz w:val="24"/>
          <w:szCs w:val="24"/>
        </w:rPr>
        <w:t xml:space="preserve"> not </w:t>
      </w:r>
      <w:r>
        <w:rPr>
          <w:rFonts w:ascii="Times New Roman" w:hAnsi="Times New Roman" w:cs="Times New Roman"/>
          <w:sz w:val="24"/>
          <w:szCs w:val="24"/>
        </w:rPr>
        <w:t xml:space="preserve">by </w:t>
      </w:r>
      <w:r w:rsidRPr="00853211">
        <w:rPr>
          <w:rFonts w:ascii="Times New Roman" w:hAnsi="Times New Roman" w:cs="Times New Roman"/>
          <w:sz w:val="24"/>
          <w:szCs w:val="24"/>
        </w:rPr>
        <w:t>its investors, actual or potential</w:t>
      </w:r>
      <w:r w:rsidR="00796064">
        <w:rPr>
          <w:rFonts w:ascii="Times New Roman" w:hAnsi="Times New Roman" w:cs="Times New Roman"/>
          <w:sz w:val="24"/>
          <w:szCs w:val="24"/>
        </w:rPr>
        <w:t xml:space="preserve">. </w:t>
      </w:r>
      <w:r w:rsidRPr="00853211">
        <w:rPr>
          <w:rFonts w:ascii="Times New Roman" w:hAnsi="Times New Roman" w:cs="Times New Roman"/>
          <w:sz w:val="24"/>
          <w:szCs w:val="24"/>
        </w:rPr>
        <w:t xml:space="preserve">To conduct its substantive analysis, the article </w:t>
      </w:r>
      <w:r>
        <w:rPr>
          <w:rFonts w:ascii="Times New Roman" w:hAnsi="Times New Roman" w:cs="Times New Roman"/>
          <w:sz w:val="24"/>
          <w:szCs w:val="24"/>
        </w:rPr>
        <w:t xml:space="preserve">has proceeded in two steps. In the first step, the article </w:t>
      </w:r>
      <w:r w:rsidRPr="00853211">
        <w:rPr>
          <w:rFonts w:ascii="Times New Roman" w:hAnsi="Times New Roman" w:cs="Times New Roman"/>
          <w:sz w:val="24"/>
          <w:szCs w:val="24"/>
        </w:rPr>
        <w:t xml:space="preserve">took as given firms’ shareholder configurations and assumed that the </w:t>
      </w:r>
      <w:r>
        <w:rPr>
          <w:rFonts w:ascii="Times New Roman" w:hAnsi="Times New Roman" w:cs="Times New Roman"/>
          <w:sz w:val="24"/>
          <w:szCs w:val="24"/>
        </w:rPr>
        <w:t xml:space="preserve">makeup of the </w:t>
      </w:r>
      <w:r w:rsidRPr="00853211">
        <w:rPr>
          <w:rFonts w:ascii="Times New Roman" w:hAnsi="Times New Roman" w:cs="Times New Roman"/>
          <w:sz w:val="24"/>
          <w:szCs w:val="24"/>
        </w:rPr>
        <w:t>shareholder</w:t>
      </w:r>
      <w:r>
        <w:rPr>
          <w:rFonts w:ascii="Times New Roman" w:hAnsi="Times New Roman" w:cs="Times New Roman"/>
          <w:sz w:val="24"/>
          <w:szCs w:val="24"/>
        </w:rPr>
        <w:t xml:space="preserve"> body </w:t>
      </w:r>
      <w:r w:rsidRPr="00853211">
        <w:rPr>
          <w:rFonts w:ascii="Times New Roman" w:hAnsi="Times New Roman" w:cs="Times New Roman"/>
          <w:sz w:val="24"/>
          <w:szCs w:val="24"/>
        </w:rPr>
        <w:t>of any particular public firm w</w:t>
      </w:r>
      <w:r>
        <w:rPr>
          <w:rFonts w:ascii="Times New Roman" w:hAnsi="Times New Roman" w:cs="Times New Roman"/>
          <w:sz w:val="24"/>
          <w:szCs w:val="24"/>
        </w:rPr>
        <w:t xml:space="preserve">as </w:t>
      </w:r>
      <w:r w:rsidRPr="00853211">
        <w:rPr>
          <w:rFonts w:ascii="Times New Roman" w:hAnsi="Times New Roman" w:cs="Times New Roman"/>
          <w:sz w:val="24"/>
          <w:szCs w:val="24"/>
        </w:rPr>
        <w:t>representative of equity holders in the economy in general</w:t>
      </w:r>
      <w:r>
        <w:rPr>
          <w:rFonts w:ascii="Times New Roman" w:hAnsi="Times New Roman" w:cs="Times New Roman"/>
          <w:sz w:val="24"/>
          <w:szCs w:val="24"/>
        </w:rPr>
        <w:t xml:space="preserve"> with regard to the kinds of preferences under study</w:t>
      </w:r>
      <w:r w:rsidR="00796064">
        <w:rPr>
          <w:rFonts w:ascii="Times New Roman" w:hAnsi="Times New Roman" w:cs="Times New Roman"/>
          <w:sz w:val="24"/>
          <w:szCs w:val="24"/>
        </w:rPr>
        <w:t xml:space="preserve">. </w:t>
      </w:r>
      <w:r w:rsidRPr="00853211">
        <w:rPr>
          <w:rFonts w:ascii="Times New Roman" w:hAnsi="Times New Roman" w:cs="Times New Roman"/>
          <w:sz w:val="24"/>
          <w:szCs w:val="24"/>
        </w:rPr>
        <w:t xml:space="preserve">Given that fixed shareholder configuration, the article evaluated, for each of the </w:t>
      </w:r>
      <w:r>
        <w:rPr>
          <w:rFonts w:ascii="Times New Roman" w:hAnsi="Times New Roman" w:cs="Times New Roman"/>
          <w:sz w:val="24"/>
          <w:szCs w:val="24"/>
        </w:rPr>
        <w:t>three</w:t>
      </w:r>
      <w:r w:rsidRPr="00853211">
        <w:rPr>
          <w:rFonts w:ascii="Times New Roman" w:hAnsi="Times New Roman" w:cs="Times New Roman"/>
          <w:sz w:val="24"/>
          <w:szCs w:val="24"/>
        </w:rPr>
        <w:t xml:space="preserve"> identified categories of differences in investor preferences, </w:t>
      </w:r>
      <w:r>
        <w:rPr>
          <w:rFonts w:ascii="Times New Roman" w:hAnsi="Times New Roman" w:cs="Times New Roman"/>
          <w:sz w:val="24"/>
          <w:szCs w:val="24"/>
        </w:rPr>
        <w:t xml:space="preserve">whether </w:t>
      </w:r>
      <w:r w:rsidRPr="00853211">
        <w:rPr>
          <w:rFonts w:ascii="Times New Roman" w:hAnsi="Times New Roman" w:cs="Times New Roman"/>
          <w:sz w:val="24"/>
          <w:szCs w:val="24"/>
        </w:rPr>
        <w:t xml:space="preserve">the presence of heterogeneity in investor preferences </w:t>
      </w:r>
      <w:r>
        <w:rPr>
          <w:rFonts w:ascii="Times New Roman" w:hAnsi="Times New Roman" w:cs="Times New Roman"/>
          <w:sz w:val="24"/>
          <w:szCs w:val="24"/>
        </w:rPr>
        <w:t>can be</w:t>
      </w:r>
      <w:r w:rsidRPr="00853211">
        <w:rPr>
          <w:rFonts w:ascii="Times New Roman" w:hAnsi="Times New Roman" w:cs="Times New Roman"/>
          <w:sz w:val="24"/>
          <w:szCs w:val="24"/>
        </w:rPr>
        <w:t xml:space="preserve"> expected to cause managers to forego share value maximization relative to a circumstance in which all shareholders wanted the firm</w:t>
      </w:r>
      <w:r>
        <w:rPr>
          <w:rFonts w:ascii="Times New Roman" w:hAnsi="Times New Roman" w:cs="Times New Roman"/>
          <w:sz w:val="24"/>
          <w:szCs w:val="24"/>
        </w:rPr>
        <w:t xml:space="preserve"> </w:t>
      </w:r>
      <w:r w:rsidRPr="00853211">
        <w:rPr>
          <w:rFonts w:ascii="Times New Roman" w:hAnsi="Times New Roman" w:cs="Times New Roman"/>
          <w:sz w:val="24"/>
          <w:szCs w:val="24"/>
        </w:rPr>
        <w:t>to maximize share value</w:t>
      </w:r>
      <w:r w:rsidR="00796064">
        <w:rPr>
          <w:rFonts w:ascii="Times New Roman" w:hAnsi="Times New Roman" w:cs="Times New Roman"/>
          <w:sz w:val="24"/>
          <w:szCs w:val="24"/>
        </w:rPr>
        <w:t xml:space="preserve">. </w:t>
      </w:r>
    </w:p>
    <w:p w14:paraId="6D13F151" w14:textId="77777777" w:rsidR="00FC49BA" w:rsidRPr="00853211" w:rsidRDefault="00FC49BA" w:rsidP="00FC49BA">
      <w:pPr>
        <w:spacing w:after="0" w:line="480" w:lineRule="auto"/>
        <w:ind w:right="90" w:firstLine="720"/>
        <w:jc w:val="both"/>
        <w:rPr>
          <w:rFonts w:ascii="Times New Roman" w:hAnsi="Times New Roman" w:cs="Times New Roman"/>
          <w:sz w:val="24"/>
          <w:szCs w:val="24"/>
        </w:rPr>
      </w:pPr>
      <w:r w:rsidRPr="00853211">
        <w:rPr>
          <w:rFonts w:ascii="Times New Roman" w:hAnsi="Times New Roman" w:cs="Times New Roman"/>
          <w:sz w:val="24"/>
          <w:szCs w:val="24"/>
        </w:rPr>
        <w:t>By systematically working through each of the primary devices that the academic corporate governance literature has identified as potential mechanisms that directly or indirectly influencing managerial decision-making, the article f</w:t>
      </w:r>
      <w:r>
        <w:rPr>
          <w:rFonts w:ascii="Times New Roman" w:hAnsi="Times New Roman" w:cs="Times New Roman"/>
          <w:sz w:val="24"/>
          <w:szCs w:val="24"/>
        </w:rPr>
        <w:t xml:space="preserve">inds </w:t>
      </w:r>
      <w:r w:rsidRPr="00853211">
        <w:rPr>
          <w:rFonts w:ascii="Times New Roman" w:hAnsi="Times New Roman" w:cs="Times New Roman"/>
          <w:sz w:val="24"/>
          <w:szCs w:val="24"/>
        </w:rPr>
        <w:t xml:space="preserve">that the pressure that each device applies to managers of publicly traded dispersed ownership corporations to remain focused on share value maximization is likely unaffected by the presence of shareholders who want managers to abandon that objective. </w:t>
      </w:r>
      <w:r>
        <w:rPr>
          <w:rFonts w:ascii="Times New Roman" w:hAnsi="Times New Roman" w:cs="Times New Roman"/>
          <w:sz w:val="24"/>
          <w:szCs w:val="24"/>
        </w:rPr>
        <w:t xml:space="preserve">While certain changes to current corporate governance arrangements recommended by some commentators might cause managers to be more receptive to shareholder preferences for curtailing share value maximization in furtherance of some other end, these changes come with costs that may well overwhelm any social gain arising from greater managerial sensitivity to the shareholders who would prefer to sacrifice profits to further some other end. </w:t>
      </w:r>
    </w:p>
    <w:p w14:paraId="311D9102" w14:textId="02E6F5A4" w:rsidR="00FC49BA" w:rsidRPr="00853211" w:rsidRDefault="00FC49BA" w:rsidP="00FC49BA">
      <w:pPr>
        <w:spacing w:after="0" w:line="480" w:lineRule="auto"/>
        <w:ind w:right="90" w:firstLine="720"/>
        <w:jc w:val="both"/>
        <w:rPr>
          <w:rFonts w:ascii="Times New Roman" w:hAnsi="Times New Roman" w:cs="Times New Roman"/>
          <w:bCs/>
          <w:sz w:val="24"/>
          <w:szCs w:val="24"/>
        </w:rPr>
      </w:pPr>
      <w:r w:rsidRPr="00853211">
        <w:rPr>
          <w:rFonts w:ascii="Times New Roman" w:hAnsi="Times New Roman" w:cs="Times New Roman"/>
          <w:sz w:val="24"/>
          <w:szCs w:val="24"/>
        </w:rPr>
        <w:t xml:space="preserve">In reality, however, shareholder configurations of publicly traded firms are not immutable. </w:t>
      </w:r>
      <w:r>
        <w:rPr>
          <w:rFonts w:ascii="Times New Roman" w:hAnsi="Times New Roman" w:cs="Times New Roman"/>
          <w:sz w:val="24"/>
          <w:szCs w:val="24"/>
        </w:rPr>
        <w:t>T</w:t>
      </w:r>
      <w:r w:rsidRPr="00853211">
        <w:rPr>
          <w:rFonts w:ascii="Times New Roman" w:hAnsi="Times New Roman" w:cs="Times New Roman"/>
          <w:sz w:val="24"/>
          <w:szCs w:val="24"/>
        </w:rPr>
        <w:t>hrough their buy and sell decisions, investors can self-select and sort into firms in a way that can better align the</w:t>
      </w:r>
      <w:r>
        <w:rPr>
          <w:rFonts w:ascii="Times New Roman" w:hAnsi="Times New Roman" w:cs="Times New Roman"/>
          <w:sz w:val="24"/>
          <w:szCs w:val="24"/>
        </w:rPr>
        <w:t xml:space="preserve"> composition of their portfolios </w:t>
      </w:r>
      <w:r w:rsidRPr="00853211">
        <w:rPr>
          <w:rFonts w:ascii="Times New Roman" w:hAnsi="Times New Roman" w:cs="Times New Roman"/>
          <w:sz w:val="24"/>
          <w:szCs w:val="24"/>
        </w:rPr>
        <w:t xml:space="preserve">with their personal preferences. </w:t>
      </w:r>
      <w:r>
        <w:rPr>
          <w:rFonts w:ascii="Times New Roman" w:hAnsi="Times New Roman" w:cs="Times New Roman"/>
          <w:sz w:val="24"/>
          <w:szCs w:val="24"/>
        </w:rPr>
        <w:t xml:space="preserve">Accordingly, </w:t>
      </w:r>
      <w:r>
        <w:rPr>
          <w:rFonts w:ascii="Times New Roman" w:hAnsi="Times New Roman" w:cs="Times New Roman"/>
          <w:sz w:val="24"/>
          <w:szCs w:val="24"/>
        </w:rPr>
        <w:lastRenderedPageBreak/>
        <w:t>in the second step of its analysis, t</w:t>
      </w:r>
      <w:r w:rsidRPr="00853211">
        <w:rPr>
          <w:rFonts w:ascii="Times New Roman" w:hAnsi="Times New Roman" w:cs="Times New Roman"/>
          <w:sz w:val="24"/>
          <w:szCs w:val="24"/>
        </w:rPr>
        <w:t xml:space="preserve">he article </w:t>
      </w:r>
      <w:r>
        <w:rPr>
          <w:rFonts w:ascii="Times New Roman" w:hAnsi="Times New Roman" w:cs="Times New Roman"/>
          <w:sz w:val="24"/>
          <w:szCs w:val="24"/>
        </w:rPr>
        <w:t>relaxed the assumption that firms have a fixed shareholder base and evaluated whether the presence among the economy’s equity investors of ones preferring to sacrifice profits in furtherance of some other end can affect corporate behavior through the mechanism of investor sorting</w:t>
      </w:r>
      <w:r w:rsidR="00796064">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650D8CF" w14:textId="2EC07C2E" w:rsidR="00FC49BA" w:rsidRDefault="00FC49BA" w:rsidP="00FC49BA">
      <w:pPr>
        <w:spacing w:after="0" w:line="480" w:lineRule="auto"/>
        <w:ind w:right="90" w:firstLine="720"/>
        <w:jc w:val="both"/>
        <w:rPr>
          <w:rFonts w:ascii="Times New Roman" w:hAnsi="Times New Roman" w:cs="Times New Roman"/>
          <w:sz w:val="24"/>
          <w:szCs w:val="24"/>
        </w:rPr>
      </w:pPr>
      <w:r>
        <w:rPr>
          <w:rFonts w:ascii="Times New Roman" w:hAnsi="Times New Roman" w:cs="Times New Roman"/>
          <w:sz w:val="24"/>
          <w:szCs w:val="24"/>
        </w:rPr>
        <w:t>The article structured its analysis on the two channels through which investor sorting can affect corporate behavior. First, investor sorting can affect corporate behavior through the franchise because it can change the firm’s shareholder base and thus result in a new preference configuration of those empowered to vote in shareholder elections. Second, investor sorting can affect corporate behavior through price effects. If investor sorting causes some firms’ share prices to fall</w:t>
      </w:r>
      <w:r w:rsidR="00A80A75">
        <w:rPr>
          <w:rFonts w:ascii="Times New Roman" w:hAnsi="Times New Roman" w:cs="Times New Roman"/>
          <w:sz w:val="24"/>
          <w:szCs w:val="24"/>
        </w:rPr>
        <w:t>—</w:t>
      </w:r>
      <w:r>
        <w:rPr>
          <w:rFonts w:ascii="Times New Roman" w:hAnsi="Times New Roman" w:cs="Times New Roman"/>
          <w:sz w:val="24"/>
          <w:szCs w:val="24"/>
        </w:rPr>
        <w:t xml:space="preserve">for instance, because those firms engage in some socially undesirable activity that prompts a subset of investors to divest the firms’ equity—then those firms’ managers may be incentivized to modify corporate behavior in the first instance in order to avoid investor sorting and the accompanying drop in share price. </w:t>
      </w:r>
    </w:p>
    <w:p w14:paraId="769A6A4B" w14:textId="2A6C3085" w:rsidR="00FC49BA" w:rsidRDefault="00FC49BA" w:rsidP="00FC49BA">
      <w:pPr>
        <w:spacing w:after="0" w:line="480" w:lineRule="auto"/>
        <w:ind w:right="90" w:firstLine="720"/>
        <w:jc w:val="both"/>
        <w:rPr>
          <w:rFonts w:ascii="Times New Roman" w:hAnsi="Times New Roman" w:cs="Times New Roman"/>
          <w:kern w:val="0"/>
          <w:sz w:val="24"/>
          <w:szCs w:val="24"/>
          <w14:ligatures w14:val="none"/>
        </w:rPr>
      </w:pPr>
      <w:r>
        <w:rPr>
          <w:rFonts w:ascii="Times New Roman" w:hAnsi="Times New Roman" w:cs="Times New Roman"/>
          <w:sz w:val="24"/>
          <w:szCs w:val="24"/>
        </w:rPr>
        <w:t>T</w:t>
      </w:r>
      <w:r w:rsidRPr="00853211">
        <w:rPr>
          <w:rFonts w:ascii="Times New Roman" w:hAnsi="Times New Roman" w:cs="Times New Roman"/>
          <w:sz w:val="24"/>
          <w:szCs w:val="24"/>
        </w:rPr>
        <w:t>he article readily rule</w:t>
      </w:r>
      <w:r>
        <w:rPr>
          <w:rFonts w:ascii="Times New Roman" w:hAnsi="Times New Roman" w:cs="Times New Roman"/>
          <w:sz w:val="24"/>
          <w:szCs w:val="24"/>
        </w:rPr>
        <w:t>d</w:t>
      </w:r>
      <w:r w:rsidRPr="00853211">
        <w:rPr>
          <w:rFonts w:ascii="Times New Roman" w:hAnsi="Times New Roman" w:cs="Times New Roman"/>
          <w:sz w:val="24"/>
          <w:szCs w:val="24"/>
        </w:rPr>
        <w:t xml:space="preserve"> out the </w:t>
      </w:r>
      <w:r>
        <w:rPr>
          <w:rFonts w:ascii="Times New Roman" w:hAnsi="Times New Roman" w:cs="Times New Roman"/>
          <w:sz w:val="24"/>
          <w:szCs w:val="24"/>
        </w:rPr>
        <w:t xml:space="preserve">franchise </w:t>
      </w:r>
      <w:r w:rsidRPr="00853211">
        <w:rPr>
          <w:rFonts w:ascii="Times New Roman" w:hAnsi="Times New Roman" w:cs="Times New Roman"/>
          <w:sz w:val="24"/>
          <w:szCs w:val="24"/>
        </w:rPr>
        <w:t>as potential channels for divergent shareholder preferences to affect managerial incentives</w:t>
      </w:r>
      <w:r>
        <w:rPr>
          <w:rFonts w:ascii="Times New Roman" w:hAnsi="Times New Roman" w:cs="Times New Roman"/>
          <w:sz w:val="24"/>
          <w:szCs w:val="24"/>
        </w:rPr>
        <w:t xml:space="preserve"> and hence corporate behavior even in the presence of sorting due to identification investing</w:t>
      </w:r>
      <w:r w:rsidR="00796064">
        <w:rPr>
          <w:rFonts w:ascii="Times New Roman" w:hAnsi="Times New Roman" w:cs="Times New Roman"/>
          <w:sz w:val="24"/>
          <w:szCs w:val="24"/>
        </w:rPr>
        <w:t xml:space="preserve">. </w:t>
      </w:r>
      <w:r>
        <w:rPr>
          <w:rFonts w:ascii="Times New Roman" w:hAnsi="Times New Roman" w:cs="Times New Roman"/>
          <w:sz w:val="24"/>
          <w:szCs w:val="24"/>
        </w:rPr>
        <w:t>I</w:t>
      </w:r>
      <w:r w:rsidRPr="00853211">
        <w:rPr>
          <w:rFonts w:ascii="Times New Roman" w:hAnsi="Times New Roman" w:cs="Times New Roman"/>
          <w:sz w:val="24"/>
          <w:szCs w:val="24"/>
        </w:rPr>
        <w:t xml:space="preserve">ts conclusion regarding the price effect, requires more qualification. </w:t>
      </w:r>
      <w:r w:rsidRPr="00853211">
        <w:rPr>
          <w:rFonts w:ascii="Times New Roman" w:hAnsi="Times New Roman" w:cs="Times New Roman"/>
          <w:bCs/>
          <w:sz w:val="24"/>
          <w:szCs w:val="24"/>
        </w:rPr>
        <w:t xml:space="preserve">If shareholder sorting causes the market to discount at a more favorable rate the future cash flows of the embraced firms relative to the </w:t>
      </w:r>
      <w:r>
        <w:rPr>
          <w:rFonts w:ascii="Times New Roman" w:hAnsi="Times New Roman" w:cs="Times New Roman"/>
          <w:bCs/>
          <w:sz w:val="24"/>
          <w:szCs w:val="24"/>
        </w:rPr>
        <w:t xml:space="preserve">divested </w:t>
      </w:r>
      <w:r w:rsidRPr="00853211">
        <w:rPr>
          <w:rFonts w:ascii="Times New Roman" w:hAnsi="Times New Roman" w:cs="Times New Roman"/>
          <w:bCs/>
          <w:sz w:val="24"/>
          <w:szCs w:val="24"/>
        </w:rPr>
        <w:t>ones, then this could result in sufficiently favorable effects on the price of the shares that managers would be incentivized to have their firms behave differently</w:t>
      </w:r>
      <w:r w:rsidR="00796064">
        <w:rPr>
          <w:rFonts w:ascii="Times New Roman" w:hAnsi="Times New Roman" w:cs="Times New Roman"/>
          <w:bCs/>
          <w:sz w:val="24"/>
          <w:szCs w:val="24"/>
        </w:rPr>
        <w:t xml:space="preserve">. </w:t>
      </w:r>
      <w:r w:rsidRPr="00853211">
        <w:rPr>
          <w:rFonts w:ascii="Times New Roman" w:hAnsi="Times New Roman" w:cs="Times New Roman"/>
          <w:bCs/>
          <w:sz w:val="24"/>
          <w:szCs w:val="24"/>
        </w:rPr>
        <w:t>Additionally, this price effect would reduce the embraced firms’ costs of capital, allowing them to grow faster relative to the boycotted firms</w:t>
      </w:r>
      <w:r w:rsidR="00796064">
        <w:rPr>
          <w:rFonts w:ascii="Times New Roman" w:hAnsi="Times New Roman" w:cs="Times New Roman"/>
          <w:bCs/>
          <w:sz w:val="24"/>
          <w:szCs w:val="24"/>
        </w:rPr>
        <w:t xml:space="preserve">. </w:t>
      </w:r>
      <w:r>
        <w:rPr>
          <w:rFonts w:ascii="Times New Roman" w:hAnsi="Times New Roman" w:cs="Times New Roman"/>
          <w:bCs/>
          <w:sz w:val="24"/>
          <w:szCs w:val="24"/>
        </w:rPr>
        <w:t xml:space="preserve">The </w:t>
      </w:r>
      <w:r>
        <w:rPr>
          <w:rFonts w:ascii="Times New Roman" w:hAnsi="Times New Roman" w:cs="Times New Roman"/>
          <w:kern w:val="0"/>
          <w:sz w:val="24"/>
          <w:szCs w:val="24"/>
          <w14:ligatures w14:val="none"/>
        </w:rPr>
        <w:t xml:space="preserve">empirical findings to date, however, are mixed as to whether any currently realized price effect is meaningful and is it also uncertain whether additional investor sorting would generate a </w:t>
      </w:r>
      <w:r>
        <w:rPr>
          <w:rFonts w:ascii="Times New Roman" w:hAnsi="Times New Roman" w:cs="Times New Roman"/>
          <w:kern w:val="0"/>
          <w:sz w:val="24"/>
          <w:szCs w:val="24"/>
          <w14:ligatures w14:val="none"/>
        </w:rPr>
        <w:lastRenderedPageBreak/>
        <w:t>meaningful price response. But even if sorting has or is expected to generate non-trivial price effects, there are important reasons why those price effects may not result in significant or immediate changes to corporate behavior</w:t>
      </w:r>
      <w:r w:rsidR="00796064">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At the same time, reliance on a price-based mechanism for reforming corporate behavior has clear advantages to one based on changing the prevailing governance structure and can be readily promoted through more socially-oriented securities disclosure.</w:t>
      </w:r>
    </w:p>
    <w:p w14:paraId="1CECAB12" w14:textId="453F5AAE" w:rsidR="00FC49BA" w:rsidRDefault="00FC49BA" w:rsidP="00FC49BA">
      <w:pPr>
        <w:spacing w:after="0" w:line="480" w:lineRule="auto"/>
        <w:ind w:right="90" w:firstLine="720"/>
        <w:jc w:val="both"/>
        <w:rPr>
          <w:rFonts w:ascii="Times New Roman" w:hAnsi="Times New Roman" w:cs="Times New Roman"/>
          <w:kern w:val="0"/>
          <w:sz w:val="24"/>
          <w:szCs w:val="24"/>
          <w14:ligatures w14:val="none"/>
        </w:rPr>
      </w:pPr>
      <w:r w:rsidRPr="0069257D">
        <w:rPr>
          <w:rFonts w:ascii="Times New Roman" w:hAnsi="Times New Roman" w:cs="Times New Roman"/>
          <w:kern w:val="0"/>
          <w:sz w:val="24"/>
          <w:szCs w:val="24"/>
          <w14:ligatures w14:val="none"/>
        </w:rPr>
        <w:t xml:space="preserve">The article’s mode of analysis and its findings open new lines of future research that can aid in the resolution of important, ongoing debates in corporate law scholarship. </w:t>
      </w:r>
      <w:r w:rsidR="00D771A0" w:rsidRPr="0069257D">
        <w:rPr>
          <w:rFonts w:ascii="Times New Roman" w:hAnsi="Times New Roman" w:cs="Times New Roman"/>
          <w:kern w:val="0"/>
          <w:sz w:val="24"/>
          <w:szCs w:val="24"/>
          <w14:ligatures w14:val="none"/>
        </w:rPr>
        <w:t>As an example, the article applie</w:t>
      </w:r>
      <w:r w:rsidR="00BA767C" w:rsidRPr="0069257D">
        <w:rPr>
          <w:rFonts w:ascii="Times New Roman" w:hAnsi="Times New Roman" w:cs="Times New Roman"/>
          <w:kern w:val="0"/>
          <w:sz w:val="24"/>
          <w:szCs w:val="24"/>
          <w14:ligatures w14:val="none"/>
        </w:rPr>
        <w:t>d</w:t>
      </w:r>
      <w:r w:rsidR="00D771A0" w:rsidRPr="0069257D">
        <w:rPr>
          <w:rFonts w:ascii="Times New Roman" w:hAnsi="Times New Roman" w:cs="Times New Roman"/>
          <w:kern w:val="0"/>
          <w:sz w:val="24"/>
          <w:szCs w:val="24"/>
          <w14:ligatures w14:val="none"/>
        </w:rPr>
        <w:t xml:space="preserve"> its analytical apparatus to the longstanding corporate purpose debate. It show</w:t>
      </w:r>
      <w:r w:rsidR="00BA767C" w:rsidRPr="0069257D">
        <w:rPr>
          <w:rFonts w:ascii="Times New Roman" w:hAnsi="Times New Roman" w:cs="Times New Roman"/>
          <w:kern w:val="0"/>
          <w:sz w:val="24"/>
          <w:szCs w:val="24"/>
          <w14:ligatures w14:val="none"/>
        </w:rPr>
        <w:t>s, among other things,</w:t>
      </w:r>
      <w:r w:rsidR="00D771A0" w:rsidRPr="0069257D">
        <w:rPr>
          <w:rFonts w:ascii="Times New Roman" w:hAnsi="Times New Roman" w:cs="Times New Roman"/>
          <w:kern w:val="0"/>
          <w:sz w:val="24"/>
          <w:szCs w:val="24"/>
          <w14:ligatures w14:val="none"/>
        </w:rPr>
        <w:t xml:space="preserve"> that even if </w:t>
      </w:r>
      <w:r w:rsidR="00BA767C" w:rsidRPr="0069257D">
        <w:rPr>
          <w:rFonts w:ascii="Times New Roman" w:hAnsi="Times New Roman" w:cs="Times New Roman"/>
          <w:kern w:val="0"/>
          <w:sz w:val="24"/>
          <w:szCs w:val="24"/>
          <w14:ligatures w14:val="none"/>
        </w:rPr>
        <w:t xml:space="preserve">a substantial portion of </w:t>
      </w:r>
      <w:r w:rsidR="009F37DD">
        <w:rPr>
          <w:rFonts w:ascii="Times New Roman" w:hAnsi="Times New Roman" w:cs="Times New Roman"/>
          <w:kern w:val="0"/>
          <w:sz w:val="24"/>
          <w:szCs w:val="24"/>
          <w14:ligatures w14:val="none"/>
        </w:rPr>
        <w:t>the economy’s</w:t>
      </w:r>
      <w:r w:rsidR="00BA767C" w:rsidRPr="0069257D">
        <w:rPr>
          <w:rFonts w:ascii="Times New Roman" w:hAnsi="Times New Roman" w:cs="Times New Roman"/>
          <w:kern w:val="0"/>
          <w:sz w:val="24"/>
          <w:szCs w:val="24"/>
          <w14:ligatures w14:val="none"/>
        </w:rPr>
        <w:t xml:space="preserve"> equity </w:t>
      </w:r>
      <w:r w:rsidR="00D771A0" w:rsidRPr="0069257D">
        <w:rPr>
          <w:rFonts w:ascii="Times New Roman" w:hAnsi="Times New Roman" w:cs="Times New Roman"/>
          <w:kern w:val="0"/>
          <w:sz w:val="24"/>
          <w:szCs w:val="24"/>
          <w14:ligatures w14:val="none"/>
        </w:rPr>
        <w:t xml:space="preserve">investors </w:t>
      </w:r>
      <w:r w:rsidR="00BA767C" w:rsidRPr="0069257D">
        <w:rPr>
          <w:rFonts w:ascii="Times New Roman" w:hAnsi="Times New Roman" w:cs="Times New Roman"/>
          <w:kern w:val="0"/>
          <w:sz w:val="24"/>
          <w:szCs w:val="24"/>
          <w14:ligatures w14:val="none"/>
        </w:rPr>
        <w:t xml:space="preserve">would, if fully informed, </w:t>
      </w:r>
      <w:r w:rsidR="00D771A0" w:rsidRPr="0069257D">
        <w:rPr>
          <w:rFonts w:ascii="Times New Roman" w:hAnsi="Times New Roman" w:cs="Times New Roman"/>
          <w:kern w:val="0"/>
          <w:sz w:val="24"/>
          <w:szCs w:val="24"/>
          <w14:ligatures w14:val="none"/>
        </w:rPr>
        <w:t xml:space="preserve">want corporations to </w:t>
      </w:r>
      <w:r w:rsidR="00BA767C" w:rsidRPr="0069257D">
        <w:rPr>
          <w:rFonts w:ascii="Times New Roman" w:hAnsi="Times New Roman" w:cs="Times New Roman"/>
          <w:kern w:val="0"/>
          <w:sz w:val="24"/>
          <w:szCs w:val="24"/>
          <w14:ligatures w14:val="none"/>
        </w:rPr>
        <w:t>deviate from s</w:t>
      </w:r>
      <w:r w:rsidR="00D771A0" w:rsidRPr="0069257D">
        <w:rPr>
          <w:rFonts w:ascii="Times New Roman" w:hAnsi="Times New Roman" w:cs="Times New Roman"/>
          <w:kern w:val="0"/>
          <w:sz w:val="24"/>
          <w:szCs w:val="24"/>
          <w14:ligatures w14:val="none"/>
        </w:rPr>
        <w:t>hare</w:t>
      </w:r>
      <w:r w:rsidR="00BA767C" w:rsidRPr="0069257D">
        <w:rPr>
          <w:rFonts w:ascii="Times New Roman" w:hAnsi="Times New Roman" w:cs="Times New Roman"/>
          <w:kern w:val="0"/>
          <w:sz w:val="24"/>
          <w:szCs w:val="24"/>
          <w14:ligatures w14:val="none"/>
        </w:rPr>
        <w:t xml:space="preserve"> value maximization in furtherance of other ends, this is unlikely to happen absent fundamental changes in current corporate governance arrangements. </w:t>
      </w:r>
    </w:p>
    <w:p w14:paraId="46E52C5D" w14:textId="068132C8" w:rsidR="00484FEE" w:rsidRDefault="00484FEE">
      <w:pPr>
        <w:rPr>
          <w:rFonts w:ascii="Times New Roman" w:hAnsi="Times New Roman" w:cs="Times New Roman"/>
          <w:bCs/>
          <w:sz w:val="24"/>
          <w:szCs w:val="24"/>
        </w:rPr>
      </w:pPr>
      <w:r>
        <w:rPr>
          <w:rFonts w:ascii="Times New Roman" w:hAnsi="Times New Roman" w:cs="Times New Roman"/>
          <w:bCs/>
          <w:sz w:val="24"/>
          <w:szCs w:val="24"/>
        </w:rPr>
        <w:br w:type="page"/>
      </w:r>
    </w:p>
    <w:p w14:paraId="2585E5A5" w14:textId="77777777" w:rsidR="00544638" w:rsidRDefault="00544638">
      <w:pPr>
        <w:rPr>
          <w:rFonts w:ascii="Times New Roman" w:hAnsi="Times New Roman" w:cs="Times New Roman"/>
          <w:bCs/>
          <w:sz w:val="24"/>
          <w:szCs w:val="24"/>
        </w:rPr>
      </w:pPr>
    </w:p>
    <w:p w14:paraId="6CAED3AF" w14:textId="09FBC402" w:rsidR="00F80489" w:rsidRDefault="00AC05CC" w:rsidP="00AC05CC">
      <w:pPr>
        <w:jc w:val="center"/>
        <w:rPr>
          <w:rFonts w:ascii="Times New Roman" w:hAnsi="Times New Roman" w:cs="Times New Roman"/>
          <w:b/>
          <w:sz w:val="24"/>
          <w:szCs w:val="24"/>
          <w:u w:val="single"/>
        </w:rPr>
      </w:pPr>
      <w:r w:rsidRPr="00046CBE">
        <w:rPr>
          <w:rFonts w:ascii="Times New Roman" w:hAnsi="Times New Roman" w:cs="Times New Roman"/>
          <w:b/>
          <w:sz w:val="24"/>
          <w:szCs w:val="24"/>
          <w:u w:val="single"/>
        </w:rPr>
        <w:t xml:space="preserve">Appendix </w:t>
      </w:r>
    </w:p>
    <w:p w14:paraId="742DAB19" w14:textId="77777777" w:rsidR="00AC05CC" w:rsidRDefault="00AC05CC" w:rsidP="00046CBE">
      <w:pPr>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 xml:space="preserve">Investor X has an equity interest in Corporation A. The question addressed is whether investor X, if fully informed, would favor A deviating from share value maximization in furtherance of some particular externality eliminating goal. </w:t>
      </w:r>
    </w:p>
    <w:p w14:paraId="1709DC30" w14:textId="77777777" w:rsidR="00AC05CC" w:rsidRDefault="00AC05CC" w:rsidP="00046CBE">
      <w:pPr>
        <w:autoSpaceDE w:val="0"/>
        <w:autoSpaceDN w:val="0"/>
        <w:adjustRightInd w:val="0"/>
        <w:spacing w:after="0" w:line="240" w:lineRule="auto"/>
        <w:rPr>
          <w:rFonts w:ascii="Times New Roman" w:hAnsi="Times New Roman" w:cs="Times New Roman"/>
          <w:sz w:val="24"/>
          <w:szCs w:val="24"/>
          <w:lang w:val="en-CA"/>
        </w:rPr>
      </w:pPr>
    </w:p>
    <w:p w14:paraId="7050EBE3" w14:textId="77777777" w:rsidR="00AC05CC" w:rsidRDefault="00AC05CC" w:rsidP="00046CBE">
      <w:pPr>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u w:val="single"/>
          <w:lang w:val="en-CA"/>
        </w:rPr>
        <w:t>Definitions</w:t>
      </w:r>
    </w:p>
    <w:p w14:paraId="6B76441F" w14:textId="77777777" w:rsidR="00AC05CC" w:rsidRDefault="00AC05CC" w:rsidP="00046CBE">
      <w:pPr>
        <w:autoSpaceDE w:val="0"/>
        <w:autoSpaceDN w:val="0"/>
        <w:adjustRightInd w:val="0"/>
        <w:spacing w:after="0" w:line="240" w:lineRule="auto"/>
        <w:rPr>
          <w:rFonts w:ascii="Times New Roman" w:hAnsi="Times New Roman" w:cs="Times New Roman"/>
          <w:sz w:val="24"/>
          <w:szCs w:val="24"/>
          <w:lang w:val="en-CA"/>
        </w:rPr>
      </w:pPr>
    </w:p>
    <w:p w14:paraId="33203F64" w14:textId="77777777" w:rsidR="00AC05CC" w:rsidRDefault="00AC05CC" w:rsidP="00046CBE">
      <w:pPr>
        <w:autoSpaceDE w:val="0"/>
        <w:autoSpaceDN w:val="0"/>
        <w:adjustRightInd w:val="0"/>
        <w:spacing w:after="0" w:line="240" w:lineRule="auto"/>
        <w:rPr>
          <w:rFonts w:ascii="Times New Roman" w:hAnsi="Times New Roman" w:cs="Times New Roman"/>
          <w:sz w:val="24"/>
          <w:szCs w:val="24"/>
        </w:rPr>
      </w:pPr>
      <w:r w:rsidRPr="006E3855">
        <w:rPr>
          <w:rFonts w:ascii="Times New Roman" w:hAnsi="Times New Roman" w:cs="Times New Roman"/>
          <w:sz w:val="24"/>
          <w:szCs w:val="24"/>
        </w:rPr>
        <w:t>C</w:t>
      </w:r>
      <w:r w:rsidRPr="006E3855">
        <w:rPr>
          <w:rFonts w:ascii="Times New Roman" w:hAnsi="Times New Roman" w:cs="Times New Roman"/>
          <w:sz w:val="24"/>
          <w:szCs w:val="24"/>
          <w:vertAlign w:val="subscript"/>
        </w:rPr>
        <w:t>x</w:t>
      </w:r>
      <w:r w:rsidRPr="006E3855">
        <w:rPr>
          <w:rFonts w:ascii="Times New Roman" w:hAnsi="Times New Roman" w:cs="Times New Roman"/>
          <w:sz w:val="24"/>
          <w:szCs w:val="24"/>
        </w:rPr>
        <w:t xml:space="preserve"> = the cost to X in the reduced value of her shares from if </w:t>
      </w:r>
      <w:r>
        <w:rPr>
          <w:rFonts w:ascii="Times New Roman" w:hAnsi="Times New Roman" w:cs="Times New Roman"/>
          <w:sz w:val="24"/>
          <w:szCs w:val="24"/>
        </w:rPr>
        <w:t xml:space="preserve">A </w:t>
      </w:r>
      <w:r w:rsidRPr="006E3855">
        <w:rPr>
          <w:rFonts w:ascii="Times New Roman" w:hAnsi="Times New Roman" w:cs="Times New Roman"/>
          <w:sz w:val="24"/>
          <w:szCs w:val="24"/>
        </w:rPr>
        <w:t>engages in the deviation</w:t>
      </w:r>
    </w:p>
    <w:p w14:paraId="772CA8FB" w14:textId="77777777" w:rsidR="00AC05CC" w:rsidRDefault="00AC05CC" w:rsidP="00046CBE">
      <w:pPr>
        <w:autoSpaceDE w:val="0"/>
        <w:autoSpaceDN w:val="0"/>
        <w:adjustRightInd w:val="0"/>
        <w:spacing w:after="0" w:line="240" w:lineRule="auto"/>
        <w:rPr>
          <w:rFonts w:ascii="Times New Roman" w:hAnsi="Times New Roman" w:cs="Times New Roman"/>
          <w:sz w:val="24"/>
          <w:szCs w:val="24"/>
        </w:rPr>
      </w:pPr>
    </w:p>
    <w:p w14:paraId="075B943B" w14:textId="77777777" w:rsidR="00AC05CC" w:rsidRDefault="00AC05CC" w:rsidP="00046CBE">
      <w:pPr>
        <w:autoSpaceDE w:val="0"/>
        <w:autoSpaceDN w:val="0"/>
        <w:adjustRightInd w:val="0"/>
        <w:spacing w:after="0" w:line="240" w:lineRule="auto"/>
        <w:rPr>
          <w:rFonts w:ascii="Times New Roman" w:hAnsi="Times New Roman" w:cs="Times New Roman"/>
          <w:sz w:val="24"/>
          <w:szCs w:val="24"/>
        </w:rPr>
      </w:pPr>
      <w:r w:rsidRPr="006E3855">
        <w:rPr>
          <w:rFonts w:ascii="Times New Roman" w:hAnsi="Times New Roman" w:cs="Times New Roman"/>
          <w:sz w:val="24"/>
          <w:szCs w:val="24"/>
        </w:rPr>
        <w:t>C</w:t>
      </w:r>
      <w:r w:rsidRPr="006E3855">
        <w:rPr>
          <w:rFonts w:ascii="Times New Roman" w:hAnsi="Times New Roman" w:cs="Times New Roman"/>
          <w:sz w:val="24"/>
          <w:szCs w:val="24"/>
          <w:vertAlign w:val="subscript"/>
        </w:rPr>
        <w:t>y</w:t>
      </w:r>
      <w:r w:rsidRPr="006E3855">
        <w:rPr>
          <w:rFonts w:ascii="Times New Roman" w:hAnsi="Times New Roman" w:cs="Times New Roman"/>
          <w:sz w:val="24"/>
          <w:szCs w:val="24"/>
        </w:rPr>
        <w:t xml:space="preserve"> = the aggregate cost to the rest of the corporation’s shareholders </w:t>
      </w:r>
      <w:r>
        <w:rPr>
          <w:rFonts w:ascii="Times New Roman" w:hAnsi="Times New Roman" w:cs="Times New Roman"/>
          <w:sz w:val="24"/>
          <w:szCs w:val="24"/>
        </w:rPr>
        <w:t xml:space="preserve">in terms of the reduced value of their shares </w:t>
      </w:r>
      <w:r w:rsidRPr="006E3855">
        <w:rPr>
          <w:rFonts w:ascii="Times New Roman" w:hAnsi="Times New Roman" w:cs="Times New Roman"/>
          <w:sz w:val="24"/>
          <w:szCs w:val="24"/>
        </w:rPr>
        <w:t>if the corporation engages in the deviation</w:t>
      </w:r>
    </w:p>
    <w:p w14:paraId="5F525667" w14:textId="77777777" w:rsidR="00AC05CC" w:rsidRDefault="00AC05CC" w:rsidP="00046CBE">
      <w:pPr>
        <w:autoSpaceDE w:val="0"/>
        <w:autoSpaceDN w:val="0"/>
        <w:adjustRightInd w:val="0"/>
        <w:spacing w:after="0" w:line="240" w:lineRule="auto"/>
        <w:rPr>
          <w:rFonts w:ascii="Times New Roman" w:hAnsi="Times New Roman" w:cs="Times New Roman"/>
          <w:sz w:val="24"/>
          <w:szCs w:val="24"/>
        </w:rPr>
      </w:pPr>
    </w:p>
    <w:p w14:paraId="74C98562" w14:textId="77777777" w:rsidR="00AC05CC" w:rsidRDefault="00AC05CC" w:rsidP="00046CBE">
      <w:pPr>
        <w:autoSpaceDE w:val="0"/>
        <w:autoSpaceDN w:val="0"/>
        <w:adjustRightInd w:val="0"/>
        <w:spacing w:after="0" w:line="240" w:lineRule="auto"/>
        <w:rPr>
          <w:rFonts w:ascii="Times New Roman" w:hAnsi="Times New Roman" w:cs="Times New Roman"/>
          <w:sz w:val="24"/>
          <w:szCs w:val="24"/>
        </w:rPr>
      </w:pPr>
      <w:r w:rsidRPr="003233D6">
        <w:rPr>
          <w:rFonts w:ascii="Times New Roman" w:hAnsi="Times New Roman" w:cs="Times New Roman"/>
          <w:sz w:val="24"/>
          <w:szCs w:val="24"/>
        </w:rPr>
        <w:t>δ</w:t>
      </w:r>
      <w:r>
        <w:rPr>
          <w:rFonts w:ascii="Times New Roman" w:hAnsi="Times New Roman" w:cs="Times New Roman"/>
          <w:sz w:val="24"/>
          <w:szCs w:val="24"/>
        </w:rPr>
        <w:t xml:space="preserve"> = C</w:t>
      </w:r>
      <w:r>
        <w:rPr>
          <w:rFonts w:ascii="Times New Roman" w:hAnsi="Times New Roman" w:cs="Times New Roman"/>
          <w:sz w:val="24"/>
          <w:szCs w:val="24"/>
          <w:vertAlign w:val="subscript"/>
        </w:rPr>
        <w:t>X</w:t>
      </w:r>
      <w:r>
        <w:rPr>
          <w:rFonts w:ascii="Times New Roman" w:hAnsi="Times New Roman" w:cs="Times New Roman"/>
          <w:sz w:val="24"/>
          <w:szCs w:val="24"/>
        </w:rPr>
        <w:t xml:space="preserve"> + C</w:t>
      </w:r>
      <w:r>
        <w:rPr>
          <w:rFonts w:ascii="Times New Roman" w:hAnsi="Times New Roman" w:cs="Times New Roman"/>
          <w:sz w:val="24"/>
          <w:szCs w:val="24"/>
          <w:vertAlign w:val="subscript"/>
        </w:rPr>
        <w:t>Y</w:t>
      </w:r>
      <w:r>
        <w:rPr>
          <w:rFonts w:ascii="Times New Roman" w:hAnsi="Times New Roman" w:cs="Times New Roman"/>
          <w:sz w:val="24"/>
          <w:szCs w:val="24"/>
        </w:rPr>
        <w:t xml:space="preserve"> (the cost to A and hence to its shareholders of the deviation) </w:t>
      </w:r>
    </w:p>
    <w:p w14:paraId="720EE3E1" w14:textId="77777777" w:rsidR="00AC05CC" w:rsidRDefault="00AC05CC" w:rsidP="00046CBE">
      <w:pPr>
        <w:autoSpaceDE w:val="0"/>
        <w:autoSpaceDN w:val="0"/>
        <w:adjustRightInd w:val="0"/>
        <w:spacing w:after="0" w:line="240" w:lineRule="auto"/>
        <w:rPr>
          <w:rFonts w:ascii="Times New Roman" w:hAnsi="Times New Roman" w:cs="Times New Roman"/>
          <w:sz w:val="24"/>
          <w:szCs w:val="24"/>
        </w:rPr>
      </w:pPr>
    </w:p>
    <w:p w14:paraId="40492281" w14:textId="77777777" w:rsidR="00AC05CC" w:rsidRDefault="00AC05CC" w:rsidP="00046CBE">
      <w:pPr>
        <w:autoSpaceDE w:val="0"/>
        <w:autoSpaceDN w:val="0"/>
        <w:adjustRightInd w:val="0"/>
        <w:spacing w:after="0" w:line="240" w:lineRule="auto"/>
        <w:rPr>
          <w:rFonts w:ascii="Times New Roman" w:hAnsi="Times New Roman" w:cs="Times New Roman"/>
          <w:sz w:val="24"/>
          <w:szCs w:val="24"/>
        </w:rPr>
      </w:pPr>
      <w:r w:rsidRPr="006E3855">
        <w:rPr>
          <w:rFonts w:ascii="Times New Roman" w:hAnsi="Times New Roman" w:cs="Times New Roman"/>
          <w:sz w:val="24"/>
          <w:szCs w:val="24"/>
        </w:rPr>
        <w:t xml:space="preserve">G = the aggregate gains of everyone whose position is improved by the change in </w:t>
      </w:r>
      <w:r>
        <w:rPr>
          <w:rFonts w:ascii="Times New Roman" w:hAnsi="Times New Roman" w:cs="Times New Roman"/>
          <w:sz w:val="24"/>
          <w:szCs w:val="24"/>
        </w:rPr>
        <w:t xml:space="preserve">A’s </w:t>
      </w:r>
      <w:r w:rsidRPr="006E3855">
        <w:rPr>
          <w:rFonts w:ascii="Times New Roman" w:hAnsi="Times New Roman" w:cs="Times New Roman"/>
          <w:sz w:val="24"/>
          <w:szCs w:val="24"/>
        </w:rPr>
        <w:t xml:space="preserve">behavior </w:t>
      </w:r>
      <w:r>
        <w:rPr>
          <w:rFonts w:ascii="Times New Roman" w:hAnsi="Times New Roman" w:cs="Times New Roman"/>
          <w:sz w:val="24"/>
          <w:szCs w:val="24"/>
        </w:rPr>
        <w:t>represented by the deviation</w:t>
      </w:r>
      <w:r w:rsidRPr="006E3855">
        <w:rPr>
          <w:rFonts w:ascii="Times New Roman" w:hAnsi="Times New Roman" w:cs="Times New Roman"/>
          <w:sz w:val="24"/>
          <w:szCs w:val="24"/>
        </w:rPr>
        <w:t xml:space="preserve"> (</w:t>
      </w:r>
      <w:r>
        <w:rPr>
          <w:rFonts w:ascii="Times New Roman" w:hAnsi="Times New Roman" w:cs="Times New Roman"/>
          <w:sz w:val="24"/>
          <w:szCs w:val="24"/>
        </w:rPr>
        <w:t>for example</w:t>
      </w:r>
      <w:r w:rsidRPr="006E3855">
        <w:rPr>
          <w:rFonts w:ascii="Times New Roman" w:hAnsi="Times New Roman" w:cs="Times New Roman"/>
          <w:sz w:val="24"/>
          <w:szCs w:val="24"/>
        </w:rPr>
        <w:t xml:space="preserve">, </w:t>
      </w:r>
      <w:r>
        <w:rPr>
          <w:rFonts w:ascii="Times New Roman" w:hAnsi="Times New Roman" w:cs="Times New Roman"/>
          <w:sz w:val="24"/>
          <w:szCs w:val="24"/>
        </w:rPr>
        <w:t>the improvement in the lives of people who were suffering from smoke being emitted by a factory run by A where the deviation is shutting the factory down)</w:t>
      </w:r>
    </w:p>
    <w:p w14:paraId="50BD7AC4" w14:textId="77777777" w:rsidR="00AC05CC" w:rsidRDefault="00AC05CC" w:rsidP="00046CBE">
      <w:pPr>
        <w:autoSpaceDE w:val="0"/>
        <w:autoSpaceDN w:val="0"/>
        <w:adjustRightInd w:val="0"/>
        <w:spacing w:after="0" w:line="240" w:lineRule="auto"/>
        <w:rPr>
          <w:rFonts w:ascii="Times New Roman" w:hAnsi="Times New Roman" w:cs="Times New Roman"/>
          <w:sz w:val="24"/>
          <w:szCs w:val="24"/>
        </w:rPr>
      </w:pPr>
    </w:p>
    <w:p w14:paraId="101B8B1F" w14:textId="77777777" w:rsidR="00AC05CC" w:rsidRDefault="00AC05CC" w:rsidP="00046CBE">
      <w:pPr>
        <w:autoSpaceDE w:val="0"/>
        <w:autoSpaceDN w:val="0"/>
        <w:adjustRightInd w:val="0"/>
        <w:spacing w:after="0" w:line="240" w:lineRule="auto"/>
        <w:rPr>
          <w:rFonts w:ascii="Times New Roman" w:hAnsi="Times New Roman" w:cs="Times New Roman"/>
          <w:sz w:val="24"/>
          <w:szCs w:val="24"/>
        </w:rPr>
      </w:pPr>
      <w:r w:rsidRPr="006E3855">
        <w:rPr>
          <w:rFonts w:ascii="Times New Roman" w:hAnsi="Times New Roman" w:cs="Times New Roman"/>
          <w:sz w:val="24"/>
          <w:szCs w:val="24"/>
        </w:rPr>
        <w:t xml:space="preserve">L = the aggregate losses of everyone whose position is hurt by the change in </w:t>
      </w:r>
      <w:r>
        <w:rPr>
          <w:rFonts w:ascii="Times New Roman" w:hAnsi="Times New Roman" w:cs="Times New Roman"/>
          <w:sz w:val="24"/>
          <w:szCs w:val="24"/>
        </w:rPr>
        <w:t xml:space="preserve">A </w:t>
      </w:r>
      <w:r w:rsidRPr="006E3855">
        <w:rPr>
          <w:rFonts w:ascii="Times New Roman" w:hAnsi="Times New Roman" w:cs="Times New Roman"/>
          <w:sz w:val="24"/>
          <w:szCs w:val="24"/>
        </w:rPr>
        <w:t>behavior (</w:t>
      </w:r>
      <w:r>
        <w:rPr>
          <w:rFonts w:ascii="Times New Roman" w:hAnsi="Times New Roman" w:cs="Times New Roman"/>
          <w:sz w:val="24"/>
          <w:szCs w:val="24"/>
        </w:rPr>
        <w:t>in the same example</w:t>
      </w:r>
      <w:r w:rsidRPr="006E3855">
        <w:rPr>
          <w:rFonts w:ascii="Times New Roman" w:hAnsi="Times New Roman" w:cs="Times New Roman"/>
          <w:sz w:val="24"/>
          <w:szCs w:val="24"/>
        </w:rPr>
        <w:t xml:space="preserve">, persons who lost their jobs from the </w:t>
      </w:r>
      <w:r>
        <w:rPr>
          <w:rFonts w:ascii="Times New Roman" w:hAnsi="Times New Roman" w:cs="Times New Roman"/>
          <w:sz w:val="24"/>
          <w:szCs w:val="24"/>
        </w:rPr>
        <w:t xml:space="preserve">factory’s </w:t>
      </w:r>
      <w:r w:rsidRPr="006E3855">
        <w:rPr>
          <w:rFonts w:ascii="Times New Roman" w:hAnsi="Times New Roman" w:cs="Times New Roman"/>
          <w:sz w:val="24"/>
          <w:szCs w:val="24"/>
        </w:rPr>
        <w:t>closure)</w:t>
      </w:r>
    </w:p>
    <w:p w14:paraId="0BB4D68B" w14:textId="77777777" w:rsidR="00AC05CC" w:rsidRDefault="00AC05CC" w:rsidP="00046CBE">
      <w:pPr>
        <w:autoSpaceDE w:val="0"/>
        <w:autoSpaceDN w:val="0"/>
        <w:adjustRightInd w:val="0"/>
        <w:spacing w:after="0" w:line="240" w:lineRule="auto"/>
        <w:rPr>
          <w:rFonts w:ascii="Times New Roman" w:hAnsi="Times New Roman" w:cs="Times New Roman"/>
          <w:sz w:val="24"/>
          <w:szCs w:val="24"/>
        </w:rPr>
      </w:pPr>
    </w:p>
    <w:p w14:paraId="33974167" w14:textId="77777777" w:rsidR="00AC05CC" w:rsidRDefault="00AC05CC" w:rsidP="00046C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 = G – L (the net of the gains and losses by persons affected by the change in A’s behavior)</w:t>
      </w:r>
    </w:p>
    <w:p w14:paraId="4CB4DB04" w14:textId="77777777" w:rsidR="00AC05CC" w:rsidRDefault="00AC05CC" w:rsidP="00046CBE">
      <w:pPr>
        <w:autoSpaceDE w:val="0"/>
        <w:autoSpaceDN w:val="0"/>
        <w:adjustRightInd w:val="0"/>
        <w:spacing w:after="0" w:line="240" w:lineRule="auto"/>
        <w:rPr>
          <w:rFonts w:ascii="Times New Roman" w:hAnsi="Times New Roman" w:cs="Times New Roman"/>
          <w:sz w:val="24"/>
          <w:szCs w:val="24"/>
        </w:rPr>
      </w:pPr>
    </w:p>
    <w:p w14:paraId="5143170C" w14:textId="77777777" w:rsidR="00AC05CC" w:rsidRDefault="00AC05CC" w:rsidP="00046C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λ</w:t>
      </w:r>
      <w:r w:rsidRPr="006E3855">
        <w:rPr>
          <w:rFonts w:ascii="Times New Roman" w:hAnsi="Times New Roman" w:cs="Times New Roman"/>
          <w:sz w:val="24"/>
          <w:szCs w:val="24"/>
          <w:vertAlign w:val="subscript"/>
        </w:rPr>
        <w:t>X</w:t>
      </w:r>
      <w:r w:rsidRPr="006E3855">
        <w:rPr>
          <w:rFonts w:ascii="Times New Roman" w:hAnsi="Times New Roman" w:cs="Times New Roman"/>
          <w:sz w:val="24"/>
          <w:szCs w:val="24"/>
        </w:rPr>
        <w:t xml:space="preserve"> = X’s empath</w:t>
      </w:r>
      <w:r>
        <w:rPr>
          <w:rFonts w:ascii="Times New Roman" w:hAnsi="Times New Roman" w:cs="Times New Roman"/>
          <w:sz w:val="24"/>
          <w:szCs w:val="24"/>
        </w:rPr>
        <w:t xml:space="preserve">y </w:t>
      </w:r>
      <w:r w:rsidRPr="006E3855">
        <w:rPr>
          <w:rFonts w:ascii="Times New Roman" w:hAnsi="Times New Roman" w:cs="Times New Roman"/>
          <w:sz w:val="24"/>
          <w:szCs w:val="24"/>
        </w:rPr>
        <w:t xml:space="preserve">factor (i.e., the ratio of pleasure or pain measured in dollar terms that X receives from changes in the wealth positions of everyone else). </w:t>
      </w:r>
    </w:p>
    <w:p w14:paraId="15D80519" w14:textId="77777777" w:rsidR="00AC05CC" w:rsidRDefault="00AC05CC" w:rsidP="00046CBE">
      <w:pPr>
        <w:autoSpaceDE w:val="0"/>
        <w:autoSpaceDN w:val="0"/>
        <w:adjustRightInd w:val="0"/>
        <w:spacing w:after="0" w:line="240" w:lineRule="auto"/>
        <w:rPr>
          <w:rFonts w:ascii="Times New Roman" w:hAnsi="Times New Roman" w:cs="Times New Roman"/>
          <w:sz w:val="24"/>
          <w:szCs w:val="24"/>
        </w:rPr>
      </w:pPr>
    </w:p>
    <w:p w14:paraId="1B484C7A" w14:textId="05702F6D" w:rsidR="00AC05CC" w:rsidRDefault="004305C4" w:rsidP="00046C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t>
      </w:r>
      <w:r w:rsidR="00AC05CC">
        <w:rPr>
          <w:rFonts w:ascii="Times New Roman" w:hAnsi="Times New Roman" w:cs="Times New Roman"/>
          <w:sz w:val="24"/>
          <w:szCs w:val="24"/>
          <w:vertAlign w:val="subscript"/>
        </w:rPr>
        <w:t>X</w:t>
      </w:r>
      <w:r w:rsidR="00AC05CC">
        <w:rPr>
          <w:rFonts w:ascii="Times New Roman" w:hAnsi="Times New Roman" w:cs="Times New Roman"/>
          <w:sz w:val="24"/>
          <w:szCs w:val="24"/>
        </w:rPr>
        <w:t xml:space="preserve"> = the fraction of the total value of A’s equity possessed by X</w:t>
      </w:r>
      <w:r w:rsidR="00AC05CC" w:rsidRPr="006E3855">
        <w:rPr>
          <w:rFonts w:ascii="Times New Roman" w:hAnsi="Times New Roman" w:cs="Times New Roman"/>
          <w:sz w:val="24"/>
          <w:szCs w:val="24"/>
        </w:rPr>
        <w:t xml:space="preserve"> </w:t>
      </w:r>
    </w:p>
    <w:p w14:paraId="3FAAA73B" w14:textId="77777777" w:rsidR="00AC05CC" w:rsidRDefault="00AC05CC" w:rsidP="00046CBE">
      <w:pPr>
        <w:autoSpaceDE w:val="0"/>
        <w:autoSpaceDN w:val="0"/>
        <w:adjustRightInd w:val="0"/>
        <w:spacing w:after="0" w:line="240" w:lineRule="auto"/>
        <w:rPr>
          <w:rFonts w:ascii="Times New Roman" w:hAnsi="Times New Roman" w:cs="Times New Roman"/>
          <w:sz w:val="24"/>
          <w:szCs w:val="24"/>
        </w:rPr>
      </w:pPr>
    </w:p>
    <w:p w14:paraId="10DE6425" w14:textId="77777777" w:rsidR="00AC05CC" w:rsidRDefault="00AC05CC" w:rsidP="00046CBE">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szCs w:val="24"/>
        </w:rPr>
        <w:t xml:space="preserve">E = </w:t>
      </w:r>
      <w:r w:rsidRPr="0098327F">
        <w:rPr>
          <w:rFonts w:ascii="Times New Roman" w:hAnsi="Times New Roman" w:cs="Times New Roman"/>
          <w:sz w:val="24"/>
        </w:rPr>
        <w:t>h/δ</w:t>
      </w:r>
      <w:r>
        <w:rPr>
          <w:rFonts w:ascii="Times New Roman" w:hAnsi="Times New Roman" w:cs="Times New Roman"/>
          <w:sz w:val="24"/>
        </w:rPr>
        <w:t xml:space="preserve"> (the externality improvement ratio)</w:t>
      </w:r>
    </w:p>
    <w:p w14:paraId="3EB48D86" w14:textId="77777777" w:rsidR="00AC05CC" w:rsidRDefault="00AC05CC" w:rsidP="00046CBE">
      <w:pPr>
        <w:autoSpaceDE w:val="0"/>
        <w:autoSpaceDN w:val="0"/>
        <w:adjustRightInd w:val="0"/>
        <w:spacing w:after="0" w:line="240" w:lineRule="auto"/>
        <w:rPr>
          <w:rFonts w:ascii="Times New Roman" w:hAnsi="Times New Roman" w:cs="Times New Roman"/>
          <w:sz w:val="24"/>
          <w:szCs w:val="24"/>
        </w:rPr>
      </w:pPr>
    </w:p>
    <w:p w14:paraId="2FA61C5B" w14:textId="77777777" w:rsidR="00AC05CC" w:rsidRDefault="00AC05CC" w:rsidP="00046C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Assumptions</w:t>
      </w:r>
    </w:p>
    <w:p w14:paraId="129A9E43" w14:textId="77777777" w:rsidR="00AC05CC" w:rsidRPr="00C87AD8" w:rsidRDefault="00AC05CC" w:rsidP="00046CBE">
      <w:pPr>
        <w:autoSpaceDE w:val="0"/>
        <w:autoSpaceDN w:val="0"/>
        <w:adjustRightInd w:val="0"/>
        <w:spacing w:after="0" w:line="240" w:lineRule="auto"/>
        <w:rPr>
          <w:rFonts w:ascii="Times New Roman" w:hAnsi="Times New Roman" w:cs="Times New Roman"/>
          <w:sz w:val="24"/>
          <w:szCs w:val="24"/>
        </w:rPr>
      </w:pPr>
    </w:p>
    <w:p w14:paraId="50B62397" w14:textId="77777777" w:rsidR="00AC05CC" w:rsidRDefault="00AC05CC" w:rsidP="00046CBE">
      <w:pPr>
        <w:autoSpaceDE w:val="0"/>
        <w:autoSpaceDN w:val="0"/>
        <w:adjustRightInd w:val="0"/>
        <w:spacing w:after="0" w:line="240" w:lineRule="auto"/>
        <w:rPr>
          <w:rFonts w:ascii="Times New Roman" w:hAnsi="Times New Roman" w:cs="Times New Roman"/>
          <w:sz w:val="24"/>
          <w:szCs w:val="24"/>
        </w:rPr>
      </w:pPr>
      <w:r w:rsidRPr="006E3855">
        <w:rPr>
          <w:rFonts w:ascii="Times New Roman" w:hAnsi="Times New Roman" w:cs="Times New Roman"/>
          <w:sz w:val="24"/>
          <w:szCs w:val="24"/>
        </w:rPr>
        <w:t xml:space="preserve">0 &lt; </w:t>
      </w:r>
      <w:r>
        <w:rPr>
          <w:rFonts w:ascii="Times New Roman" w:hAnsi="Times New Roman" w:cs="Times New Roman"/>
          <w:sz w:val="24"/>
          <w:szCs w:val="24"/>
        </w:rPr>
        <w:t>λ</w:t>
      </w:r>
      <w:r w:rsidRPr="006E3855">
        <w:rPr>
          <w:rFonts w:ascii="Times New Roman" w:hAnsi="Times New Roman" w:cs="Times New Roman"/>
          <w:sz w:val="24"/>
          <w:szCs w:val="24"/>
          <w:vertAlign w:val="subscript"/>
        </w:rPr>
        <w:t>X</w:t>
      </w:r>
      <w:r w:rsidRPr="006E3855">
        <w:rPr>
          <w:rFonts w:ascii="Times New Roman" w:hAnsi="Times New Roman" w:cs="Times New Roman"/>
          <w:sz w:val="24"/>
          <w:szCs w:val="24"/>
        </w:rPr>
        <w:t xml:space="preserve"> ≤ 1</w:t>
      </w:r>
      <w:r>
        <w:rPr>
          <w:rFonts w:ascii="Times New Roman" w:hAnsi="Times New Roman" w:cs="Times New Roman"/>
          <w:sz w:val="24"/>
          <w:szCs w:val="24"/>
        </w:rPr>
        <w:t xml:space="preserve"> (</w:t>
      </w:r>
      <w:r w:rsidRPr="006E3855">
        <w:rPr>
          <w:rFonts w:ascii="Times New Roman" w:hAnsi="Times New Roman" w:cs="Times New Roman"/>
          <w:sz w:val="24"/>
          <w:szCs w:val="24"/>
        </w:rPr>
        <w:t xml:space="preserve">X is assumed to be empathetic to the changes in the welfare of others, but the change in her welfare prompted by a change in theirs will not be greater than the change they experience themselves, i.e., </w:t>
      </w:r>
      <w:r>
        <w:rPr>
          <w:rFonts w:ascii="Times New Roman" w:hAnsi="Times New Roman" w:cs="Times New Roman"/>
          <w:sz w:val="24"/>
          <w:szCs w:val="24"/>
        </w:rPr>
        <w:t xml:space="preserve">it </w:t>
      </w:r>
      <w:r w:rsidRPr="006E3855">
        <w:rPr>
          <w:rFonts w:ascii="Times New Roman" w:hAnsi="Times New Roman" w:cs="Times New Roman"/>
          <w:sz w:val="24"/>
          <w:szCs w:val="24"/>
        </w:rPr>
        <w:t>is not going to be greater than their own changes in welfare</w:t>
      </w:r>
      <w:r>
        <w:rPr>
          <w:rFonts w:ascii="Times New Roman" w:hAnsi="Times New Roman" w:cs="Times New Roman"/>
          <w:sz w:val="24"/>
          <w:szCs w:val="24"/>
        </w:rPr>
        <w:t>)</w:t>
      </w:r>
      <w:r w:rsidRPr="006E3855">
        <w:rPr>
          <w:rFonts w:ascii="Times New Roman" w:hAnsi="Times New Roman" w:cs="Times New Roman"/>
          <w:sz w:val="24"/>
          <w:szCs w:val="24"/>
        </w:rPr>
        <w:t>.</w:t>
      </w:r>
    </w:p>
    <w:p w14:paraId="76803AFC" w14:textId="77777777" w:rsidR="00AC05CC" w:rsidRDefault="00AC05CC" w:rsidP="00046CBE">
      <w:pPr>
        <w:autoSpaceDE w:val="0"/>
        <w:autoSpaceDN w:val="0"/>
        <w:adjustRightInd w:val="0"/>
        <w:spacing w:after="0" w:line="240" w:lineRule="auto"/>
        <w:rPr>
          <w:rFonts w:ascii="Times New Roman" w:hAnsi="Times New Roman" w:cs="Times New Roman"/>
          <w:sz w:val="24"/>
          <w:szCs w:val="24"/>
        </w:rPr>
      </w:pPr>
    </w:p>
    <w:p w14:paraId="3063BB4D" w14:textId="77777777" w:rsidR="00AC05CC" w:rsidRDefault="00AC05CC" w:rsidP="00046C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Criterion for X to favor the deviation</w:t>
      </w:r>
    </w:p>
    <w:p w14:paraId="7D154638" w14:textId="77777777" w:rsidR="00AC05CC" w:rsidRDefault="00AC05CC" w:rsidP="00046CBE">
      <w:pPr>
        <w:autoSpaceDE w:val="0"/>
        <w:autoSpaceDN w:val="0"/>
        <w:adjustRightInd w:val="0"/>
        <w:spacing w:after="0" w:line="240" w:lineRule="auto"/>
        <w:rPr>
          <w:rFonts w:ascii="Times New Roman" w:hAnsi="Times New Roman" w:cs="Times New Roman"/>
          <w:sz w:val="24"/>
          <w:szCs w:val="24"/>
        </w:rPr>
      </w:pPr>
    </w:p>
    <w:p w14:paraId="3433DCF6" w14:textId="6368F21A" w:rsidR="00AC05CC" w:rsidRDefault="00AC05CC" w:rsidP="00046CBE">
      <w:pPr>
        <w:autoSpaceDE w:val="0"/>
        <w:autoSpaceDN w:val="0"/>
        <w:adjustRightInd w:val="0"/>
        <w:spacing w:after="0" w:line="240" w:lineRule="auto"/>
        <w:rPr>
          <w:rFonts w:ascii="Times New Roman" w:hAnsi="Times New Roman" w:cs="Times New Roman"/>
          <w:sz w:val="24"/>
          <w:szCs w:val="24"/>
        </w:rPr>
      </w:pPr>
      <w:r w:rsidRPr="003E5C76">
        <w:rPr>
          <w:rFonts w:ascii="Times New Roman" w:hAnsi="Times New Roman" w:cs="Times New Roman"/>
          <w:sz w:val="24"/>
          <w:szCs w:val="24"/>
        </w:rPr>
        <w:t>C</w:t>
      </w:r>
      <w:r w:rsidRPr="003E5C76">
        <w:rPr>
          <w:rFonts w:ascii="Times New Roman" w:hAnsi="Times New Roman" w:cs="Times New Roman"/>
          <w:sz w:val="24"/>
          <w:szCs w:val="24"/>
          <w:vertAlign w:val="subscript"/>
        </w:rPr>
        <w:t>x</w:t>
      </w:r>
      <w:r w:rsidRPr="003E5C76">
        <w:rPr>
          <w:rFonts w:ascii="Times New Roman" w:hAnsi="Times New Roman" w:cs="Times New Roman"/>
          <w:sz w:val="24"/>
          <w:szCs w:val="24"/>
        </w:rPr>
        <w:t xml:space="preserve"> &lt; </w:t>
      </w:r>
      <w:r w:rsidRPr="003E5C76">
        <w:rPr>
          <w:rFonts w:ascii="Times New Roman" w:hAnsi="Times New Roman" w:cs="Times New Roman"/>
          <w:sz w:val="24"/>
          <w:szCs w:val="24"/>
          <w:vertAlign w:val="subscript"/>
        </w:rPr>
        <w:t xml:space="preserve"> </w:t>
      </w:r>
      <w:r>
        <w:rPr>
          <w:rFonts w:ascii="Times New Roman" w:hAnsi="Times New Roman" w:cs="Times New Roman"/>
          <w:sz w:val="24"/>
          <w:szCs w:val="24"/>
        </w:rPr>
        <w:t>λ</w:t>
      </w:r>
      <w:r w:rsidRPr="003E5C76">
        <w:rPr>
          <w:rFonts w:ascii="Times New Roman" w:hAnsi="Times New Roman" w:cs="Times New Roman"/>
          <w:sz w:val="24"/>
          <w:szCs w:val="24"/>
          <w:vertAlign w:val="subscript"/>
        </w:rPr>
        <w:t>X</w:t>
      </w:r>
      <w:r w:rsidRPr="003E5C76">
        <w:rPr>
          <w:rFonts w:ascii="Times New Roman" w:hAnsi="Times New Roman" w:cs="Times New Roman"/>
          <w:sz w:val="24"/>
          <w:szCs w:val="24"/>
        </w:rPr>
        <w:t>(G - L- C</w:t>
      </w:r>
      <w:r w:rsidRPr="003E5C76">
        <w:rPr>
          <w:rFonts w:ascii="Times New Roman" w:hAnsi="Times New Roman" w:cs="Times New Roman"/>
          <w:sz w:val="24"/>
          <w:szCs w:val="24"/>
          <w:vertAlign w:val="subscript"/>
        </w:rPr>
        <w:t>y</w:t>
      </w:r>
      <w:r w:rsidRPr="003E5C76">
        <w:rPr>
          <w:rFonts w:ascii="Times New Roman" w:hAnsi="Times New Roman" w:cs="Times New Roman"/>
          <w:sz w:val="24"/>
          <w:szCs w:val="24"/>
        </w:rPr>
        <w:t>)</w:t>
      </w:r>
      <w:r>
        <w:rPr>
          <w:rFonts w:ascii="Times New Roman" w:hAnsi="Times New Roman" w:cs="Times New Roman"/>
          <w:sz w:val="24"/>
          <w:szCs w:val="24"/>
        </w:rPr>
        <w:t xml:space="preserve"> (</w:t>
      </w:r>
      <w:r w:rsidRPr="003C7F25">
        <w:rPr>
          <w:rFonts w:ascii="Times New Roman" w:hAnsi="Times New Roman" w:cs="Times New Roman"/>
          <w:sz w:val="24"/>
          <w:szCs w:val="24"/>
        </w:rPr>
        <w:t xml:space="preserve">X will vote in favor of the deviation if </w:t>
      </w:r>
      <w:r>
        <w:rPr>
          <w:rFonts w:ascii="Times New Roman" w:hAnsi="Times New Roman" w:cs="Times New Roman"/>
          <w:sz w:val="24"/>
          <w:szCs w:val="24"/>
        </w:rPr>
        <w:t xml:space="preserve">and only if the cost to her, </w:t>
      </w:r>
      <w:r w:rsidRPr="003C7F25">
        <w:rPr>
          <w:rFonts w:ascii="Times New Roman" w:hAnsi="Times New Roman" w:cs="Times New Roman"/>
          <w:sz w:val="24"/>
          <w:szCs w:val="24"/>
        </w:rPr>
        <w:t>C</w:t>
      </w:r>
      <w:r w:rsidRPr="003C7F25">
        <w:rPr>
          <w:rFonts w:ascii="Times New Roman" w:hAnsi="Times New Roman" w:cs="Times New Roman"/>
          <w:sz w:val="24"/>
          <w:szCs w:val="24"/>
          <w:vertAlign w:val="subscript"/>
        </w:rPr>
        <w:t>x</w:t>
      </w:r>
      <w:r>
        <w:rPr>
          <w:rFonts w:ascii="Times New Roman" w:hAnsi="Times New Roman" w:cs="Times New Roman"/>
          <w:sz w:val="24"/>
          <w:szCs w:val="24"/>
        </w:rPr>
        <w:t>,</w:t>
      </w:r>
      <w:r w:rsidRPr="003C7F25">
        <w:rPr>
          <w:rFonts w:ascii="Times New Roman" w:hAnsi="Times New Roman" w:cs="Times New Roman"/>
          <w:sz w:val="24"/>
          <w:szCs w:val="24"/>
        </w:rPr>
        <w:t xml:space="preserve"> is less than the empathetic pleasure that X gets from (G -L - C</w:t>
      </w:r>
      <w:r w:rsidRPr="003C7F25">
        <w:rPr>
          <w:rFonts w:ascii="Times New Roman" w:hAnsi="Times New Roman" w:cs="Times New Roman"/>
          <w:sz w:val="24"/>
          <w:szCs w:val="24"/>
          <w:vertAlign w:val="subscript"/>
        </w:rPr>
        <w:t>y</w:t>
      </w:r>
      <w:r w:rsidRPr="003C7F25">
        <w:rPr>
          <w:rFonts w:ascii="Times New Roman" w:hAnsi="Times New Roman" w:cs="Times New Roman"/>
          <w:sz w:val="24"/>
          <w:szCs w:val="24"/>
        </w:rPr>
        <w:t>)</w:t>
      </w:r>
      <w:r>
        <w:rPr>
          <w:rFonts w:ascii="Times New Roman" w:hAnsi="Times New Roman" w:cs="Times New Roman"/>
          <w:sz w:val="24"/>
          <w:szCs w:val="24"/>
        </w:rPr>
        <w:t>)</w:t>
      </w:r>
      <w:r w:rsidR="00796064">
        <w:rPr>
          <w:rFonts w:ascii="Times New Roman" w:hAnsi="Times New Roman" w:cs="Times New Roman"/>
          <w:sz w:val="24"/>
          <w:szCs w:val="24"/>
        </w:rPr>
        <w:t xml:space="preserve">. </w:t>
      </w:r>
    </w:p>
    <w:p w14:paraId="44B0A4B4" w14:textId="77777777" w:rsidR="00AC05CC" w:rsidRDefault="00AC05CC" w:rsidP="00046CBE">
      <w:pPr>
        <w:autoSpaceDE w:val="0"/>
        <w:autoSpaceDN w:val="0"/>
        <w:adjustRightInd w:val="0"/>
        <w:spacing w:after="0" w:line="240" w:lineRule="auto"/>
        <w:rPr>
          <w:rFonts w:ascii="Times New Roman" w:hAnsi="Times New Roman" w:cs="Times New Roman"/>
          <w:sz w:val="24"/>
          <w:szCs w:val="24"/>
        </w:rPr>
      </w:pPr>
    </w:p>
    <w:p w14:paraId="47AB7757" w14:textId="066B5B18" w:rsidR="00AC05CC" w:rsidRPr="003E5C76" w:rsidRDefault="00AC05CC" w:rsidP="00046C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Because </w:t>
      </w:r>
      <w:r w:rsidRPr="003E5C76">
        <w:rPr>
          <w:rFonts w:ascii="Times New Roman" w:hAnsi="Times New Roman" w:cs="Times New Roman"/>
          <w:sz w:val="24"/>
          <w:szCs w:val="24"/>
        </w:rPr>
        <w:t>C</w:t>
      </w:r>
      <w:r w:rsidRPr="003E5C76">
        <w:rPr>
          <w:rFonts w:ascii="Times New Roman" w:hAnsi="Times New Roman" w:cs="Times New Roman"/>
          <w:sz w:val="24"/>
          <w:szCs w:val="24"/>
          <w:vertAlign w:val="subscript"/>
        </w:rPr>
        <w:t>x</w:t>
      </w:r>
      <w:r>
        <w:rPr>
          <w:rFonts w:ascii="Times New Roman" w:hAnsi="Times New Roman" w:cs="Times New Roman"/>
          <w:sz w:val="24"/>
          <w:szCs w:val="24"/>
        </w:rPr>
        <w:t xml:space="preserve"> = </w:t>
      </w:r>
      <w:r w:rsidRPr="003233D6">
        <w:rPr>
          <w:rFonts w:ascii="Times New Roman" w:hAnsi="Times New Roman" w:cs="Times New Roman"/>
          <w:sz w:val="24"/>
          <w:szCs w:val="24"/>
        </w:rPr>
        <w:t>s</w:t>
      </w:r>
      <w:r>
        <w:rPr>
          <w:rFonts w:ascii="Times New Roman" w:hAnsi="Times New Roman" w:cs="Times New Roman"/>
          <w:sz w:val="24"/>
          <w:szCs w:val="24"/>
          <w:vertAlign w:val="subscript"/>
        </w:rPr>
        <w:t>X</w:t>
      </w:r>
      <w:r w:rsidRPr="003233D6">
        <w:rPr>
          <w:rFonts w:ascii="Times New Roman" w:hAnsi="Times New Roman" w:cs="Times New Roman"/>
          <w:sz w:val="24"/>
          <w:szCs w:val="24"/>
        </w:rPr>
        <w:t>δ</w:t>
      </w:r>
      <w:r>
        <w:rPr>
          <w:rFonts w:ascii="Times New Roman" w:hAnsi="Times New Roman" w:cs="Times New Roman"/>
          <w:sz w:val="24"/>
          <w:szCs w:val="24"/>
        </w:rPr>
        <w:t xml:space="preserve">, this condition can be alternatively expressed as </w:t>
      </w:r>
      <w:r>
        <w:rPr>
          <w:rFonts w:ascii="SymbolMT" w:eastAsia="SymbolMT" w:hAnsi="Times New Roman" w:cs="SymbolMT"/>
          <w:sz w:val="23"/>
          <w:szCs w:val="23"/>
        </w:rPr>
        <w:t>–</w:t>
      </w:r>
      <w:r w:rsidR="004305C4" w:rsidRPr="004305C4">
        <w:rPr>
          <w:rFonts w:ascii="Times New Roman" w:hAnsi="Times New Roman" w:cs="Times New Roman"/>
          <w:sz w:val="24"/>
          <w:szCs w:val="24"/>
        </w:rPr>
        <w:t xml:space="preserve"> </w:t>
      </w:r>
      <w:r w:rsidR="004305C4">
        <w:rPr>
          <w:rFonts w:ascii="Times New Roman" w:hAnsi="Times New Roman" w:cs="Times New Roman"/>
          <w:sz w:val="24"/>
          <w:szCs w:val="24"/>
        </w:rPr>
        <w:t>S</w:t>
      </w:r>
      <w:r w:rsidR="004305C4">
        <w:rPr>
          <w:rFonts w:ascii="Times New Roman" w:hAnsi="Times New Roman" w:cs="Times New Roman"/>
          <w:sz w:val="24"/>
          <w:szCs w:val="24"/>
          <w:vertAlign w:val="subscript"/>
        </w:rPr>
        <w:t>X</w:t>
      </w:r>
      <w:r w:rsidRPr="003233D6">
        <w:rPr>
          <w:rFonts w:ascii="Times New Roman" w:hAnsi="Times New Roman" w:cs="Times New Roman"/>
          <w:sz w:val="24"/>
          <w:szCs w:val="24"/>
        </w:rPr>
        <w:t xml:space="preserve">δ + </w:t>
      </w:r>
      <w:r>
        <w:rPr>
          <w:rFonts w:ascii="Times New Roman" w:hAnsi="Times New Roman" w:cs="Times New Roman"/>
          <w:sz w:val="24"/>
          <w:szCs w:val="24"/>
        </w:rPr>
        <w:t>λ</w:t>
      </w:r>
      <w:r w:rsidRPr="006E3855">
        <w:rPr>
          <w:rFonts w:ascii="Times New Roman" w:hAnsi="Times New Roman" w:cs="Times New Roman"/>
          <w:sz w:val="24"/>
          <w:szCs w:val="24"/>
          <w:vertAlign w:val="subscript"/>
        </w:rPr>
        <w:t>X</w:t>
      </w:r>
      <w:r w:rsidRPr="003233D6">
        <w:rPr>
          <w:rFonts w:ascii="Times New Roman" w:hAnsi="Times New Roman" w:cs="Times New Roman"/>
          <w:sz w:val="24"/>
          <w:szCs w:val="24"/>
        </w:rPr>
        <w:t xml:space="preserve"> [(h - (1 - </w:t>
      </w:r>
      <w:r w:rsidR="004305C4">
        <w:rPr>
          <w:rFonts w:ascii="Times New Roman" w:hAnsi="Times New Roman" w:cs="Times New Roman"/>
          <w:sz w:val="24"/>
          <w:szCs w:val="24"/>
        </w:rPr>
        <w:t>S</w:t>
      </w:r>
      <w:r w:rsidR="004305C4">
        <w:rPr>
          <w:rFonts w:ascii="Times New Roman" w:hAnsi="Times New Roman" w:cs="Times New Roman"/>
          <w:sz w:val="24"/>
          <w:szCs w:val="24"/>
          <w:vertAlign w:val="subscript"/>
        </w:rPr>
        <w:t>X</w:t>
      </w:r>
      <w:r w:rsidRPr="003233D6">
        <w:rPr>
          <w:rFonts w:ascii="Times New Roman" w:hAnsi="Times New Roman" w:cs="Times New Roman"/>
          <w:sz w:val="24"/>
          <w:szCs w:val="24"/>
        </w:rPr>
        <w:t>)δ] &gt; 0</w:t>
      </w:r>
      <w:r w:rsidR="00796064">
        <w:rPr>
          <w:rFonts w:ascii="Times New Roman" w:hAnsi="Times New Roman" w:cs="Times New Roman"/>
          <w:sz w:val="24"/>
          <w:szCs w:val="24"/>
        </w:rPr>
        <w:t xml:space="preserve">. </w:t>
      </w:r>
    </w:p>
    <w:p w14:paraId="180E184E" w14:textId="77777777" w:rsidR="00AC05CC" w:rsidRDefault="00AC05CC" w:rsidP="00046CBE">
      <w:pPr>
        <w:autoSpaceDE w:val="0"/>
        <w:autoSpaceDN w:val="0"/>
        <w:adjustRightInd w:val="0"/>
        <w:spacing w:after="0" w:line="240" w:lineRule="auto"/>
        <w:rPr>
          <w:rFonts w:ascii="Times New Roman" w:hAnsi="Times New Roman" w:cs="Times New Roman"/>
          <w:sz w:val="24"/>
          <w:szCs w:val="24"/>
          <w:u w:val="single"/>
        </w:rPr>
      </w:pPr>
    </w:p>
    <w:p w14:paraId="74886EBD" w14:textId="77777777" w:rsidR="00544638" w:rsidRDefault="00544638" w:rsidP="00046CBE">
      <w:pPr>
        <w:autoSpaceDE w:val="0"/>
        <w:autoSpaceDN w:val="0"/>
        <w:adjustRightInd w:val="0"/>
        <w:spacing w:after="0" w:line="240" w:lineRule="auto"/>
        <w:rPr>
          <w:rFonts w:ascii="Times New Roman" w:hAnsi="Times New Roman" w:cs="Times New Roman"/>
          <w:sz w:val="24"/>
          <w:szCs w:val="24"/>
          <w:u w:val="single"/>
        </w:rPr>
      </w:pPr>
    </w:p>
    <w:p w14:paraId="2021AB08" w14:textId="77777777" w:rsidR="00544638" w:rsidRDefault="00544638" w:rsidP="00046CBE">
      <w:pPr>
        <w:autoSpaceDE w:val="0"/>
        <w:autoSpaceDN w:val="0"/>
        <w:adjustRightInd w:val="0"/>
        <w:spacing w:after="0" w:line="240" w:lineRule="auto"/>
        <w:rPr>
          <w:rFonts w:ascii="Times New Roman" w:hAnsi="Times New Roman" w:cs="Times New Roman"/>
          <w:sz w:val="24"/>
          <w:szCs w:val="24"/>
          <w:u w:val="single"/>
        </w:rPr>
      </w:pPr>
    </w:p>
    <w:p w14:paraId="6FC717B0" w14:textId="73B8F0EE" w:rsidR="00AC05CC" w:rsidRDefault="00AC05CC" w:rsidP="00046CBE">
      <w:p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Proposition I: </w:t>
      </w:r>
    </w:p>
    <w:p w14:paraId="18FFC7B6" w14:textId="77777777" w:rsidR="00544638" w:rsidRDefault="00544638" w:rsidP="00046CBE">
      <w:pPr>
        <w:autoSpaceDE w:val="0"/>
        <w:autoSpaceDN w:val="0"/>
        <w:adjustRightInd w:val="0"/>
        <w:spacing w:after="0" w:line="240" w:lineRule="auto"/>
        <w:rPr>
          <w:rFonts w:ascii="Times New Roman" w:hAnsi="Times New Roman" w:cs="Times New Roman"/>
          <w:sz w:val="24"/>
          <w:szCs w:val="24"/>
        </w:rPr>
      </w:pPr>
    </w:p>
    <w:p w14:paraId="43E4B359" w14:textId="77777777" w:rsidR="00AC05CC" w:rsidRDefault="00AC05CC" w:rsidP="00046CBE">
      <w:pPr>
        <w:autoSpaceDE w:val="0"/>
        <w:autoSpaceDN w:val="0"/>
        <w:adjustRightInd w:val="0"/>
        <w:spacing w:after="0" w:line="240" w:lineRule="auto"/>
        <w:rPr>
          <w:rFonts w:ascii="Times New Roman" w:hAnsi="Times New Roman" w:cs="Times New Roman"/>
          <w:sz w:val="24"/>
          <w:szCs w:val="24"/>
        </w:rPr>
      </w:pPr>
      <w:r w:rsidRPr="0098327F">
        <w:rPr>
          <w:rFonts w:ascii="Times New Roman" w:hAnsi="Times New Roman" w:cs="Times New Roman"/>
          <w:sz w:val="24"/>
          <w:szCs w:val="24"/>
        </w:rPr>
        <w:t xml:space="preserve">A necessary but not sufficient condition for X to </w:t>
      </w:r>
      <w:r>
        <w:rPr>
          <w:rFonts w:ascii="Times New Roman" w:hAnsi="Times New Roman" w:cs="Times New Roman"/>
          <w:sz w:val="24"/>
          <w:szCs w:val="24"/>
        </w:rPr>
        <w:t xml:space="preserve">favor </w:t>
      </w:r>
      <w:r w:rsidRPr="0098327F">
        <w:rPr>
          <w:rFonts w:ascii="Times New Roman" w:hAnsi="Times New Roman" w:cs="Times New Roman"/>
          <w:sz w:val="24"/>
          <w:szCs w:val="24"/>
        </w:rPr>
        <w:t xml:space="preserve">the deviation </w:t>
      </w:r>
      <w:r>
        <w:rPr>
          <w:rFonts w:ascii="Times New Roman" w:hAnsi="Times New Roman" w:cs="Times New Roman"/>
          <w:sz w:val="24"/>
          <w:szCs w:val="24"/>
        </w:rPr>
        <w:t xml:space="preserve">is that it </w:t>
      </w:r>
      <w:r w:rsidRPr="0098327F">
        <w:rPr>
          <w:rFonts w:ascii="Times New Roman" w:hAnsi="Times New Roman" w:cs="Times New Roman"/>
          <w:sz w:val="24"/>
          <w:szCs w:val="24"/>
        </w:rPr>
        <w:t>would be social welfare improving</w:t>
      </w:r>
      <w:r>
        <w:rPr>
          <w:rFonts w:ascii="Times New Roman" w:hAnsi="Times New Roman" w:cs="Times New Roman"/>
          <w:sz w:val="24"/>
          <w:szCs w:val="24"/>
        </w:rPr>
        <w:t xml:space="preserve">, i.e., </w:t>
      </w:r>
      <w:r w:rsidRPr="009070BB">
        <w:rPr>
          <w:rFonts w:ascii="Times New Roman" w:hAnsi="Times New Roman" w:cs="Times New Roman"/>
          <w:sz w:val="24"/>
          <w:szCs w:val="24"/>
        </w:rPr>
        <w:t>C</w:t>
      </w:r>
      <w:r w:rsidRPr="009070BB">
        <w:rPr>
          <w:rFonts w:ascii="Times New Roman" w:hAnsi="Times New Roman" w:cs="Times New Roman"/>
          <w:sz w:val="24"/>
          <w:szCs w:val="24"/>
          <w:vertAlign w:val="subscript"/>
        </w:rPr>
        <w:t xml:space="preserve">X </w:t>
      </w:r>
      <w:r w:rsidRPr="009070BB">
        <w:rPr>
          <w:rFonts w:ascii="Times New Roman" w:hAnsi="Times New Roman" w:cs="Times New Roman"/>
          <w:sz w:val="24"/>
          <w:szCs w:val="24"/>
        </w:rPr>
        <w:t>+ C</w:t>
      </w:r>
      <w:r w:rsidRPr="009070BB">
        <w:rPr>
          <w:rFonts w:ascii="Times New Roman" w:hAnsi="Times New Roman" w:cs="Times New Roman"/>
          <w:sz w:val="24"/>
          <w:szCs w:val="24"/>
          <w:vertAlign w:val="subscript"/>
        </w:rPr>
        <w:t xml:space="preserve">Y </w:t>
      </w:r>
      <w:r w:rsidRPr="009070BB">
        <w:rPr>
          <w:rFonts w:ascii="Times New Roman" w:hAnsi="Times New Roman" w:cs="Times New Roman"/>
          <w:sz w:val="24"/>
          <w:szCs w:val="24"/>
        </w:rPr>
        <w:t>&lt; G – L</w:t>
      </w:r>
      <w:r>
        <w:rPr>
          <w:rFonts w:ascii="Times New Roman" w:hAnsi="Times New Roman" w:cs="Times New Roman"/>
          <w:sz w:val="24"/>
          <w:szCs w:val="24"/>
        </w:rPr>
        <w:t xml:space="preserve"> (also expressed as </w:t>
      </w:r>
      <w:r w:rsidRPr="003233D6">
        <w:rPr>
          <w:rFonts w:ascii="Times New Roman" w:hAnsi="Times New Roman" w:cs="Times New Roman"/>
          <w:sz w:val="24"/>
          <w:szCs w:val="24"/>
        </w:rPr>
        <w:t>δ</w:t>
      </w:r>
      <w:r>
        <w:rPr>
          <w:rFonts w:ascii="Times New Roman" w:hAnsi="Times New Roman" w:cs="Times New Roman"/>
          <w:sz w:val="24"/>
          <w:szCs w:val="24"/>
        </w:rPr>
        <w:t xml:space="preserve"> &lt; h or E &gt; 1).</w:t>
      </w:r>
    </w:p>
    <w:p w14:paraId="37C13347" w14:textId="77777777" w:rsidR="00AC05CC" w:rsidRDefault="00AC05CC" w:rsidP="00046CBE">
      <w:pPr>
        <w:autoSpaceDE w:val="0"/>
        <w:autoSpaceDN w:val="0"/>
        <w:adjustRightInd w:val="0"/>
        <w:spacing w:after="0" w:line="240" w:lineRule="auto"/>
        <w:rPr>
          <w:rFonts w:ascii="Times New Roman" w:hAnsi="Times New Roman" w:cs="Times New Roman"/>
          <w:sz w:val="24"/>
          <w:szCs w:val="24"/>
        </w:rPr>
      </w:pPr>
    </w:p>
    <w:p w14:paraId="09D8EB63" w14:textId="77777777" w:rsidR="00AC05CC" w:rsidRDefault="00AC05CC" w:rsidP="00046CBE">
      <w:pPr>
        <w:autoSpaceDE w:val="0"/>
        <w:autoSpaceDN w:val="0"/>
        <w:adjustRightInd w:val="0"/>
        <w:spacing w:after="0" w:line="240" w:lineRule="auto"/>
        <w:rPr>
          <w:rFonts w:ascii="Times New Roman" w:hAnsi="Times New Roman" w:cs="Times New Roman"/>
          <w:sz w:val="24"/>
          <w:szCs w:val="24"/>
          <w:u w:val="single"/>
        </w:rPr>
      </w:pPr>
      <w:r w:rsidRPr="003B5EBC">
        <w:rPr>
          <w:rFonts w:ascii="Times New Roman" w:hAnsi="Times New Roman" w:cs="Times New Roman"/>
          <w:sz w:val="24"/>
          <w:szCs w:val="24"/>
          <w:u w:val="single"/>
        </w:rPr>
        <w:t>Proof</w:t>
      </w:r>
    </w:p>
    <w:p w14:paraId="61CAD81B" w14:textId="77777777" w:rsidR="00AC05CC" w:rsidRPr="003B5EBC" w:rsidRDefault="00AC05CC" w:rsidP="00046CBE">
      <w:pPr>
        <w:autoSpaceDE w:val="0"/>
        <w:autoSpaceDN w:val="0"/>
        <w:adjustRightInd w:val="0"/>
        <w:spacing w:after="0" w:line="240" w:lineRule="auto"/>
        <w:rPr>
          <w:rFonts w:ascii="Times New Roman" w:hAnsi="Times New Roman" w:cs="Times New Roman"/>
          <w:sz w:val="24"/>
          <w:szCs w:val="24"/>
          <w:u w:val="single"/>
        </w:rPr>
      </w:pPr>
    </w:p>
    <w:p w14:paraId="3DD164EB" w14:textId="77777777" w:rsidR="00AC05CC" w:rsidRPr="009070BB" w:rsidRDefault="00AC05CC" w:rsidP="00046CBE">
      <w:pPr>
        <w:spacing w:after="0" w:line="480" w:lineRule="auto"/>
        <w:jc w:val="both"/>
        <w:rPr>
          <w:rFonts w:ascii="Times New Roman" w:hAnsi="Times New Roman" w:cs="Times New Roman"/>
          <w:sz w:val="24"/>
          <w:szCs w:val="24"/>
        </w:rPr>
      </w:pPr>
      <w:r w:rsidRPr="009070BB">
        <w:rPr>
          <w:rFonts w:ascii="Times New Roman" w:hAnsi="Times New Roman" w:cs="Times New Roman"/>
          <w:sz w:val="24"/>
          <w:szCs w:val="24"/>
        </w:rPr>
        <w:t>(1)   C</w:t>
      </w:r>
      <w:r w:rsidRPr="009070BB">
        <w:rPr>
          <w:rFonts w:ascii="Times New Roman" w:hAnsi="Times New Roman" w:cs="Times New Roman"/>
          <w:sz w:val="24"/>
          <w:szCs w:val="24"/>
          <w:vertAlign w:val="subscript"/>
        </w:rPr>
        <w:t>x</w:t>
      </w:r>
      <w:r w:rsidRPr="009070BB">
        <w:rPr>
          <w:rFonts w:ascii="Times New Roman" w:hAnsi="Times New Roman" w:cs="Times New Roman"/>
          <w:sz w:val="24"/>
          <w:szCs w:val="24"/>
        </w:rPr>
        <w:t xml:space="preserve"> &lt; </w:t>
      </w:r>
      <w:r w:rsidRPr="009070BB">
        <w:rPr>
          <w:rFonts w:ascii="Times New Roman" w:hAnsi="Times New Roman" w:cs="Times New Roman"/>
          <w:sz w:val="24"/>
          <w:szCs w:val="24"/>
          <w:vertAlign w:val="subscript"/>
        </w:rPr>
        <w:t xml:space="preserve"> </w:t>
      </w:r>
      <w:r>
        <w:rPr>
          <w:rFonts w:ascii="Times New Roman" w:hAnsi="Times New Roman" w:cs="Times New Roman"/>
          <w:sz w:val="24"/>
          <w:szCs w:val="24"/>
        </w:rPr>
        <w:t>λ</w:t>
      </w:r>
      <w:r w:rsidRPr="009070BB">
        <w:rPr>
          <w:rFonts w:ascii="Times New Roman" w:hAnsi="Times New Roman" w:cs="Times New Roman"/>
          <w:sz w:val="24"/>
          <w:szCs w:val="24"/>
          <w:vertAlign w:val="subscript"/>
        </w:rPr>
        <w:t>X</w:t>
      </w:r>
      <w:r w:rsidRPr="009070BB">
        <w:rPr>
          <w:rFonts w:ascii="Times New Roman" w:hAnsi="Times New Roman" w:cs="Times New Roman"/>
          <w:sz w:val="24"/>
          <w:szCs w:val="24"/>
        </w:rPr>
        <w:t>(G - L- C</w:t>
      </w:r>
      <w:r w:rsidRPr="009070BB">
        <w:rPr>
          <w:rFonts w:ascii="Times New Roman" w:hAnsi="Times New Roman" w:cs="Times New Roman"/>
          <w:sz w:val="24"/>
          <w:szCs w:val="24"/>
          <w:vertAlign w:val="subscript"/>
        </w:rPr>
        <w:t>y</w:t>
      </w:r>
      <w:r w:rsidRPr="009070BB">
        <w:rPr>
          <w:rFonts w:ascii="Times New Roman" w:hAnsi="Times New Roman" w:cs="Times New Roman"/>
          <w:sz w:val="24"/>
          <w:szCs w:val="24"/>
        </w:rPr>
        <w:t xml:space="preserve">)  (the condition that must obtain for X to </w:t>
      </w:r>
      <w:r>
        <w:rPr>
          <w:rFonts w:ascii="Times New Roman" w:hAnsi="Times New Roman" w:cs="Times New Roman"/>
          <w:sz w:val="24"/>
          <w:szCs w:val="24"/>
        </w:rPr>
        <w:t>favor the deviation</w:t>
      </w:r>
      <w:r w:rsidRPr="009070BB">
        <w:rPr>
          <w:rFonts w:ascii="Times New Roman" w:hAnsi="Times New Roman" w:cs="Times New Roman"/>
          <w:sz w:val="24"/>
          <w:szCs w:val="24"/>
        </w:rPr>
        <w:t>)</w:t>
      </w:r>
    </w:p>
    <w:p w14:paraId="25194E6F" w14:textId="77777777" w:rsidR="00AC05CC" w:rsidRPr="009070BB" w:rsidRDefault="00AC05CC" w:rsidP="00046CBE">
      <w:pPr>
        <w:spacing w:after="0" w:line="480" w:lineRule="auto"/>
        <w:jc w:val="both"/>
        <w:rPr>
          <w:rFonts w:ascii="Times New Roman" w:hAnsi="Times New Roman" w:cs="Times New Roman"/>
          <w:sz w:val="24"/>
          <w:szCs w:val="24"/>
        </w:rPr>
      </w:pPr>
      <w:r w:rsidRPr="009070BB">
        <w:rPr>
          <w:rFonts w:ascii="Times New Roman" w:hAnsi="Times New Roman" w:cs="Times New Roman"/>
          <w:sz w:val="24"/>
          <w:szCs w:val="24"/>
        </w:rPr>
        <w:t>(2)  (1/</w:t>
      </w:r>
      <w:r>
        <w:rPr>
          <w:rFonts w:ascii="Times New Roman" w:hAnsi="Times New Roman" w:cs="Times New Roman"/>
          <w:sz w:val="24"/>
          <w:szCs w:val="24"/>
        </w:rPr>
        <w:t>λ</w:t>
      </w:r>
      <w:r w:rsidRPr="009070BB">
        <w:rPr>
          <w:rFonts w:ascii="Times New Roman" w:hAnsi="Times New Roman" w:cs="Times New Roman"/>
          <w:sz w:val="24"/>
          <w:szCs w:val="24"/>
          <w:vertAlign w:val="subscript"/>
        </w:rPr>
        <w:t>X</w:t>
      </w:r>
      <w:r w:rsidRPr="009070BB">
        <w:rPr>
          <w:rFonts w:ascii="Times New Roman" w:hAnsi="Times New Roman" w:cs="Times New Roman"/>
          <w:sz w:val="24"/>
          <w:szCs w:val="24"/>
        </w:rPr>
        <w:t>)C</w:t>
      </w:r>
      <w:r w:rsidRPr="009070BB">
        <w:rPr>
          <w:rFonts w:ascii="Times New Roman" w:hAnsi="Times New Roman" w:cs="Times New Roman"/>
          <w:sz w:val="24"/>
          <w:szCs w:val="24"/>
          <w:vertAlign w:val="subscript"/>
        </w:rPr>
        <w:t>x</w:t>
      </w:r>
      <w:r w:rsidRPr="009070BB">
        <w:rPr>
          <w:rFonts w:ascii="Times New Roman" w:hAnsi="Times New Roman" w:cs="Times New Roman"/>
          <w:sz w:val="24"/>
          <w:szCs w:val="24"/>
        </w:rPr>
        <w:t xml:space="preserve"> + C</w:t>
      </w:r>
      <w:r w:rsidRPr="009070BB">
        <w:rPr>
          <w:rFonts w:ascii="Times New Roman" w:hAnsi="Times New Roman" w:cs="Times New Roman"/>
          <w:sz w:val="24"/>
          <w:szCs w:val="24"/>
          <w:vertAlign w:val="subscript"/>
        </w:rPr>
        <w:t>Y</w:t>
      </w:r>
      <w:r w:rsidRPr="009070BB">
        <w:rPr>
          <w:rFonts w:ascii="Times New Roman" w:hAnsi="Times New Roman" w:cs="Times New Roman"/>
          <w:sz w:val="24"/>
          <w:szCs w:val="24"/>
        </w:rPr>
        <w:t xml:space="preserve"> &lt; G – L  (multiplying </w:t>
      </w:r>
      <w:r>
        <w:rPr>
          <w:rFonts w:ascii="Times New Roman" w:hAnsi="Times New Roman" w:cs="Times New Roman"/>
          <w:sz w:val="24"/>
          <w:szCs w:val="24"/>
        </w:rPr>
        <w:t xml:space="preserve">(1) </w:t>
      </w:r>
      <w:r w:rsidRPr="009070BB">
        <w:rPr>
          <w:rFonts w:ascii="Times New Roman" w:hAnsi="Times New Roman" w:cs="Times New Roman"/>
          <w:sz w:val="24"/>
          <w:szCs w:val="24"/>
        </w:rPr>
        <w:t>both sides by 1/ƛ</w:t>
      </w:r>
      <w:r w:rsidRPr="009070BB">
        <w:rPr>
          <w:rFonts w:ascii="Times New Roman" w:hAnsi="Times New Roman" w:cs="Times New Roman"/>
          <w:sz w:val="24"/>
          <w:szCs w:val="24"/>
          <w:vertAlign w:val="subscript"/>
        </w:rPr>
        <w:t>X</w:t>
      </w:r>
      <w:r w:rsidRPr="009070BB">
        <w:rPr>
          <w:rFonts w:ascii="Times New Roman" w:hAnsi="Times New Roman" w:cs="Times New Roman"/>
          <w:sz w:val="24"/>
          <w:szCs w:val="24"/>
        </w:rPr>
        <w:t xml:space="preserve"> and rearranging)</w:t>
      </w:r>
    </w:p>
    <w:p w14:paraId="56E2C19A" w14:textId="77777777" w:rsidR="00AC05CC" w:rsidRPr="009070BB" w:rsidRDefault="00AC05CC" w:rsidP="00046CBE">
      <w:pPr>
        <w:spacing w:after="0" w:line="480" w:lineRule="auto"/>
        <w:jc w:val="both"/>
        <w:rPr>
          <w:rFonts w:ascii="Times New Roman" w:hAnsi="Times New Roman" w:cs="Times New Roman"/>
          <w:sz w:val="24"/>
          <w:szCs w:val="24"/>
        </w:rPr>
      </w:pPr>
      <w:r w:rsidRPr="009070BB">
        <w:rPr>
          <w:rFonts w:ascii="Times New Roman" w:hAnsi="Times New Roman" w:cs="Times New Roman"/>
          <w:sz w:val="24"/>
          <w:szCs w:val="24"/>
        </w:rPr>
        <w:t>(3)  (1/</w:t>
      </w:r>
      <w:r>
        <w:rPr>
          <w:rFonts w:ascii="Times New Roman" w:hAnsi="Times New Roman" w:cs="Times New Roman"/>
          <w:sz w:val="24"/>
          <w:szCs w:val="24"/>
        </w:rPr>
        <w:t>λ</w:t>
      </w:r>
      <w:r w:rsidRPr="009070BB">
        <w:rPr>
          <w:rFonts w:ascii="Times New Roman" w:hAnsi="Times New Roman" w:cs="Times New Roman"/>
          <w:sz w:val="24"/>
          <w:szCs w:val="24"/>
          <w:vertAlign w:val="subscript"/>
        </w:rPr>
        <w:t>X</w:t>
      </w:r>
      <w:r w:rsidRPr="009070BB">
        <w:rPr>
          <w:rFonts w:ascii="Times New Roman" w:hAnsi="Times New Roman" w:cs="Times New Roman"/>
          <w:sz w:val="24"/>
          <w:szCs w:val="24"/>
        </w:rPr>
        <w:t>)C</w:t>
      </w:r>
      <w:r w:rsidRPr="009070BB">
        <w:rPr>
          <w:rFonts w:ascii="Times New Roman" w:hAnsi="Times New Roman" w:cs="Times New Roman"/>
          <w:sz w:val="24"/>
          <w:szCs w:val="24"/>
          <w:vertAlign w:val="subscript"/>
        </w:rPr>
        <w:t>x</w:t>
      </w:r>
      <w:r w:rsidRPr="009070BB">
        <w:rPr>
          <w:rFonts w:ascii="Times New Roman" w:hAnsi="Times New Roman" w:cs="Times New Roman"/>
          <w:sz w:val="24"/>
          <w:szCs w:val="24"/>
        </w:rPr>
        <w:t xml:space="preserve"> + C</w:t>
      </w:r>
      <w:r w:rsidRPr="009070BB">
        <w:rPr>
          <w:rFonts w:ascii="Times New Roman" w:hAnsi="Times New Roman" w:cs="Times New Roman"/>
          <w:sz w:val="24"/>
          <w:szCs w:val="24"/>
          <w:vertAlign w:val="subscript"/>
        </w:rPr>
        <w:t>Y</w:t>
      </w:r>
      <w:r w:rsidRPr="009070BB">
        <w:rPr>
          <w:rFonts w:ascii="Times New Roman" w:hAnsi="Times New Roman" w:cs="Times New Roman"/>
          <w:sz w:val="24"/>
          <w:szCs w:val="24"/>
        </w:rPr>
        <w:t xml:space="preserve"> ≥ C</w:t>
      </w:r>
      <w:r w:rsidRPr="009070BB">
        <w:rPr>
          <w:rFonts w:ascii="Times New Roman" w:hAnsi="Times New Roman" w:cs="Times New Roman"/>
          <w:sz w:val="24"/>
          <w:szCs w:val="24"/>
          <w:vertAlign w:val="subscript"/>
        </w:rPr>
        <w:t xml:space="preserve">X </w:t>
      </w:r>
      <w:r w:rsidRPr="009070BB">
        <w:rPr>
          <w:rFonts w:ascii="Times New Roman" w:hAnsi="Times New Roman" w:cs="Times New Roman"/>
          <w:sz w:val="24"/>
          <w:szCs w:val="24"/>
        </w:rPr>
        <w:t>+ C</w:t>
      </w:r>
      <w:r w:rsidRPr="009070BB">
        <w:rPr>
          <w:rFonts w:ascii="Times New Roman" w:hAnsi="Times New Roman" w:cs="Times New Roman"/>
          <w:sz w:val="24"/>
          <w:szCs w:val="24"/>
          <w:vertAlign w:val="subscript"/>
        </w:rPr>
        <w:t>Y</w:t>
      </w:r>
      <w:r w:rsidRPr="009070BB">
        <w:rPr>
          <w:rFonts w:ascii="Times New Roman" w:hAnsi="Times New Roman" w:cs="Times New Roman"/>
          <w:sz w:val="24"/>
          <w:szCs w:val="24"/>
        </w:rPr>
        <w:t xml:space="preserve"> (since 1/</w:t>
      </w:r>
      <w:r>
        <w:rPr>
          <w:rFonts w:ascii="Times New Roman" w:hAnsi="Times New Roman" w:cs="Times New Roman"/>
          <w:sz w:val="24"/>
          <w:szCs w:val="24"/>
        </w:rPr>
        <w:t>λ</w:t>
      </w:r>
      <w:r w:rsidRPr="009070BB">
        <w:rPr>
          <w:rFonts w:ascii="Times New Roman" w:hAnsi="Times New Roman" w:cs="Times New Roman"/>
          <w:sz w:val="24"/>
          <w:szCs w:val="24"/>
          <w:vertAlign w:val="subscript"/>
        </w:rPr>
        <w:t>X</w:t>
      </w:r>
      <w:r w:rsidRPr="009070BB">
        <w:rPr>
          <w:rFonts w:ascii="Times New Roman" w:hAnsi="Times New Roman" w:cs="Times New Roman"/>
          <w:sz w:val="24"/>
          <w:szCs w:val="24"/>
        </w:rPr>
        <w:t xml:space="preserve"> ≥ 1)</w:t>
      </w:r>
    </w:p>
    <w:p w14:paraId="542A2382" w14:textId="77777777" w:rsidR="00AC05CC" w:rsidRDefault="00AC05CC" w:rsidP="00046CBE">
      <w:pPr>
        <w:spacing w:after="0" w:line="480" w:lineRule="auto"/>
        <w:jc w:val="both"/>
        <w:rPr>
          <w:rFonts w:ascii="Times New Roman" w:hAnsi="Times New Roman" w:cs="Times New Roman"/>
          <w:sz w:val="24"/>
          <w:szCs w:val="24"/>
        </w:rPr>
      </w:pPr>
      <w:r w:rsidRPr="009070BB">
        <w:rPr>
          <w:rFonts w:ascii="Times New Roman" w:hAnsi="Times New Roman" w:cs="Times New Roman"/>
          <w:sz w:val="24"/>
          <w:szCs w:val="24"/>
        </w:rPr>
        <w:t>So, for C</w:t>
      </w:r>
      <w:r w:rsidRPr="009070BB">
        <w:rPr>
          <w:rFonts w:ascii="Times New Roman" w:hAnsi="Times New Roman" w:cs="Times New Roman"/>
          <w:sz w:val="24"/>
          <w:szCs w:val="24"/>
          <w:vertAlign w:val="subscript"/>
        </w:rPr>
        <w:t>x</w:t>
      </w:r>
      <w:r w:rsidRPr="009070BB">
        <w:rPr>
          <w:rFonts w:ascii="Times New Roman" w:hAnsi="Times New Roman" w:cs="Times New Roman"/>
          <w:sz w:val="24"/>
          <w:szCs w:val="24"/>
        </w:rPr>
        <w:t xml:space="preserve"> &lt; </w:t>
      </w:r>
      <w:r w:rsidRPr="009070BB">
        <w:rPr>
          <w:rFonts w:ascii="Times New Roman" w:hAnsi="Times New Roman" w:cs="Times New Roman"/>
          <w:sz w:val="24"/>
          <w:szCs w:val="24"/>
          <w:vertAlign w:val="subscript"/>
        </w:rPr>
        <w:t xml:space="preserve"> </w:t>
      </w:r>
      <w:r>
        <w:rPr>
          <w:rFonts w:ascii="Times New Roman" w:hAnsi="Times New Roman" w:cs="Times New Roman"/>
          <w:sz w:val="24"/>
          <w:szCs w:val="24"/>
        </w:rPr>
        <w:t>λ</w:t>
      </w:r>
      <w:r w:rsidRPr="009070BB">
        <w:rPr>
          <w:rFonts w:ascii="Times New Roman" w:hAnsi="Times New Roman" w:cs="Times New Roman"/>
          <w:sz w:val="24"/>
          <w:szCs w:val="24"/>
          <w:vertAlign w:val="subscript"/>
        </w:rPr>
        <w:t>X</w:t>
      </w:r>
      <w:r w:rsidRPr="009070BB">
        <w:rPr>
          <w:rFonts w:ascii="Times New Roman" w:hAnsi="Times New Roman" w:cs="Times New Roman"/>
          <w:sz w:val="24"/>
          <w:szCs w:val="24"/>
        </w:rPr>
        <w:t>(G - L- C</w:t>
      </w:r>
      <w:r w:rsidRPr="009070BB">
        <w:rPr>
          <w:rFonts w:ascii="Times New Roman" w:hAnsi="Times New Roman" w:cs="Times New Roman"/>
          <w:sz w:val="24"/>
          <w:szCs w:val="24"/>
          <w:vertAlign w:val="subscript"/>
        </w:rPr>
        <w:t>y</w:t>
      </w:r>
      <w:r w:rsidRPr="009070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70BB">
        <w:rPr>
          <w:rFonts w:ascii="Times New Roman" w:hAnsi="Times New Roman" w:cs="Times New Roman"/>
          <w:sz w:val="24"/>
          <w:szCs w:val="24"/>
        </w:rPr>
        <w:t>C</w:t>
      </w:r>
      <w:r w:rsidRPr="009070BB">
        <w:rPr>
          <w:rFonts w:ascii="Times New Roman" w:hAnsi="Times New Roman" w:cs="Times New Roman"/>
          <w:sz w:val="24"/>
          <w:szCs w:val="24"/>
          <w:vertAlign w:val="subscript"/>
        </w:rPr>
        <w:t xml:space="preserve">X </w:t>
      </w:r>
      <w:r w:rsidRPr="009070BB">
        <w:rPr>
          <w:rFonts w:ascii="Times New Roman" w:hAnsi="Times New Roman" w:cs="Times New Roman"/>
          <w:sz w:val="24"/>
          <w:szCs w:val="24"/>
        </w:rPr>
        <w:t>+ C</w:t>
      </w:r>
      <w:r w:rsidRPr="009070BB">
        <w:rPr>
          <w:rFonts w:ascii="Times New Roman" w:hAnsi="Times New Roman" w:cs="Times New Roman"/>
          <w:sz w:val="24"/>
          <w:szCs w:val="24"/>
          <w:vertAlign w:val="subscript"/>
        </w:rPr>
        <w:t>Y</w:t>
      </w:r>
      <w:r>
        <w:rPr>
          <w:rFonts w:ascii="Times New Roman" w:hAnsi="Times New Roman" w:cs="Times New Roman"/>
          <w:sz w:val="24"/>
          <w:szCs w:val="24"/>
        </w:rPr>
        <w:t xml:space="preserve"> &lt; </w:t>
      </w:r>
      <w:r w:rsidRPr="009070BB">
        <w:rPr>
          <w:rFonts w:ascii="Times New Roman" w:hAnsi="Times New Roman" w:cs="Times New Roman"/>
          <w:sz w:val="24"/>
          <w:szCs w:val="24"/>
        </w:rPr>
        <w:t>G – L</w:t>
      </w:r>
      <w:r>
        <w:rPr>
          <w:rFonts w:ascii="Times New Roman" w:hAnsi="Times New Roman" w:cs="Times New Roman"/>
          <w:sz w:val="24"/>
          <w:szCs w:val="24"/>
        </w:rPr>
        <w:t xml:space="preserve"> (also expressed as </w:t>
      </w:r>
      <w:r w:rsidRPr="003233D6">
        <w:rPr>
          <w:rFonts w:ascii="Times New Roman" w:hAnsi="Times New Roman" w:cs="Times New Roman"/>
          <w:sz w:val="24"/>
          <w:szCs w:val="24"/>
        </w:rPr>
        <w:t>δ</w:t>
      </w:r>
      <w:r>
        <w:rPr>
          <w:rFonts w:ascii="Times New Roman" w:hAnsi="Times New Roman" w:cs="Times New Roman"/>
          <w:sz w:val="24"/>
          <w:szCs w:val="24"/>
        </w:rPr>
        <w:t xml:space="preserve"> &lt; h or E &gt; 1)</w:t>
      </w:r>
      <w:r w:rsidRPr="009070BB">
        <w:rPr>
          <w:rFonts w:ascii="Times New Roman" w:hAnsi="Times New Roman" w:cs="Times New Roman"/>
          <w:sz w:val="24"/>
          <w:szCs w:val="24"/>
        </w:rPr>
        <w:t>.</w:t>
      </w:r>
    </w:p>
    <w:p w14:paraId="6FA12803" w14:textId="77777777" w:rsidR="00AC05CC" w:rsidRDefault="00AC05CC" w:rsidP="00046CBE">
      <w:pPr>
        <w:spacing w:after="0" w:line="480" w:lineRule="auto"/>
        <w:jc w:val="both"/>
        <w:rPr>
          <w:rFonts w:ascii="Times New Roman" w:hAnsi="Times New Roman" w:cs="Times New Roman"/>
          <w:sz w:val="24"/>
          <w:szCs w:val="24"/>
        </w:rPr>
      </w:pPr>
      <w:r>
        <w:rPr>
          <w:rFonts w:ascii="Times New Roman" w:hAnsi="Times New Roman" w:cs="Times New Roman"/>
          <w:sz w:val="24"/>
          <w:szCs w:val="24"/>
          <w:u w:val="single"/>
        </w:rPr>
        <w:t>Proposition II</w:t>
      </w:r>
    </w:p>
    <w:p w14:paraId="1488E99D" w14:textId="77777777" w:rsidR="00AC05CC" w:rsidRDefault="00AC05CC" w:rsidP="00046C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3E5C76">
        <w:rPr>
          <w:rFonts w:ascii="Times New Roman" w:hAnsi="Times New Roman" w:cs="Times New Roman"/>
          <w:sz w:val="24"/>
          <w:szCs w:val="24"/>
        </w:rPr>
        <w:t xml:space="preserve">ll else equal, the smaller X’s equity interest as a proportion of the total value of the company’s equity, the more likely that X will vote in favor of </w:t>
      </w:r>
      <w:r>
        <w:rPr>
          <w:rFonts w:ascii="Times New Roman" w:hAnsi="Times New Roman" w:cs="Times New Roman"/>
          <w:sz w:val="24"/>
          <w:szCs w:val="24"/>
        </w:rPr>
        <w:t>a social welfare improving</w:t>
      </w:r>
      <w:r w:rsidRPr="003E5C76">
        <w:rPr>
          <w:rFonts w:ascii="Times New Roman" w:hAnsi="Times New Roman" w:cs="Times New Roman"/>
          <w:sz w:val="24"/>
          <w:szCs w:val="24"/>
        </w:rPr>
        <w:t xml:space="preserve"> deviation.</w:t>
      </w:r>
    </w:p>
    <w:p w14:paraId="6376DC83" w14:textId="77777777" w:rsidR="00AC05CC" w:rsidRDefault="00AC05CC" w:rsidP="00046CBE">
      <w:pPr>
        <w:spacing w:after="0" w:line="240" w:lineRule="auto"/>
        <w:jc w:val="both"/>
        <w:rPr>
          <w:rFonts w:ascii="Times New Roman" w:hAnsi="Times New Roman" w:cs="Times New Roman"/>
          <w:sz w:val="24"/>
          <w:szCs w:val="24"/>
        </w:rPr>
      </w:pPr>
    </w:p>
    <w:p w14:paraId="61F67B6F" w14:textId="77777777" w:rsidR="00AC05CC" w:rsidRDefault="00AC05CC" w:rsidP="00046CBE">
      <w:pPr>
        <w:autoSpaceDE w:val="0"/>
        <w:autoSpaceDN w:val="0"/>
        <w:adjustRightInd w:val="0"/>
        <w:spacing w:after="0" w:line="240" w:lineRule="auto"/>
        <w:rPr>
          <w:rFonts w:ascii="Times New Roman" w:hAnsi="Times New Roman" w:cs="Times New Roman"/>
          <w:sz w:val="24"/>
          <w:szCs w:val="24"/>
          <w:u w:val="single"/>
        </w:rPr>
      </w:pPr>
      <w:r w:rsidRPr="00881EEE">
        <w:rPr>
          <w:rFonts w:ascii="Times New Roman" w:hAnsi="Times New Roman" w:cs="Times New Roman"/>
          <w:sz w:val="24"/>
          <w:szCs w:val="24"/>
          <w:u w:val="single"/>
        </w:rPr>
        <w:t>Proof</w:t>
      </w:r>
    </w:p>
    <w:p w14:paraId="47EA361A" w14:textId="77777777" w:rsidR="00AC05CC" w:rsidRDefault="00AC05CC" w:rsidP="00046CBE">
      <w:pPr>
        <w:spacing w:after="0" w:line="240" w:lineRule="auto"/>
        <w:jc w:val="both"/>
        <w:rPr>
          <w:rFonts w:ascii="Times New Roman" w:hAnsi="Times New Roman" w:cs="Times New Roman"/>
          <w:sz w:val="24"/>
          <w:szCs w:val="24"/>
        </w:rPr>
      </w:pPr>
    </w:p>
    <w:p w14:paraId="7F2A690B" w14:textId="77777777" w:rsidR="00AC05CC" w:rsidRDefault="00AC05CC" w:rsidP="00046C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First, assume that the deviation is social welfare improving, so that E&gt;1.</w:t>
      </w:r>
    </w:p>
    <w:p w14:paraId="190CD6E4" w14:textId="77777777" w:rsidR="00AC05CC" w:rsidRDefault="00AC05CC" w:rsidP="00046CBE">
      <w:pPr>
        <w:spacing w:after="0" w:line="240" w:lineRule="auto"/>
        <w:jc w:val="both"/>
        <w:rPr>
          <w:rFonts w:ascii="Times New Roman" w:hAnsi="Times New Roman" w:cs="Times New Roman"/>
          <w:sz w:val="24"/>
          <w:szCs w:val="24"/>
        </w:rPr>
      </w:pPr>
    </w:p>
    <w:p w14:paraId="1C9CA11A" w14:textId="77777777" w:rsidR="00AC05CC" w:rsidRDefault="00AC05CC" w:rsidP="00046C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Next, recall that X will favor the deviation if and only if: </w:t>
      </w:r>
    </w:p>
    <w:p w14:paraId="3FDD25BB" w14:textId="77777777" w:rsidR="00AC05CC" w:rsidRDefault="00AC05CC" w:rsidP="00046CBE">
      <w:pPr>
        <w:spacing w:after="0" w:line="240" w:lineRule="auto"/>
        <w:jc w:val="both"/>
        <w:rPr>
          <w:rFonts w:ascii="Times New Roman" w:hAnsi="Times New Roman" w:cs="Times New Roman"/>
          <w:sz w:val="24"/>
          <w:szCs w:val="24"/>
        </w:rPr>
      </w:pPr>
    </w:p>
    <w:p w14:paraId="21FD551F" w14:textId="4ADE7A4F" w:rsidR="00AC05CC" w:rsidRPr="003233D6" w:rsidRDefault="00AC05CC" w:rsidP="00046CBE">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CA"/>
        </w:rPr>
        <w:t>(4)</w:t>
      </w:r>
      <w:r w:rsidRPr="003233D6">
        <w:rPr>
          <w:rFonts w:ascii="Times New Roman" w:hAnsi="Times New Roman" w:cs="Times New Roman"/>
          <w:sz w:val="24"/>
          <w:szCs w:val="24"/>
          <w:lang w:val="en-CA"/>
        </w:rPr>
        <w:fldChar w:fldCharType="begin"/>
      </w:r>
      <w:r w:rsidRPr="003233D6">
        <w:rPr>
          <w:rFonts w:ascii="Times New Roman" w:hAnsi="Times New Roman" w:cs="Times New Roman"/>
          <w:sz w:val="24"/>
          <w:szCs w:val="24"/>
          <w:lang w:val="en-CA"/>
        </w:rPr>
        <w:instrText xml:space="preserve"> SEQ CHAPTER \h \r 1</w:instrText>
      </w:r>
      <w:r w:rsidRPr="003233D6">
        <w:rPr>
          <w:rFonts w:ascii="Times New Roman" w:hAnsi="Times New Roman" w:cs="Times New Roman"/>
          <w:sz w:val="24"/>
          <w:szCs w:val="24"/>
          <w:lang w:val="en-CA"/>
        </w:rPr>
        <w:fldChar w:fldCharType="end"/>
      </w:r>
      <w:r>
        <w:rPr>
          <w:rFonts w:ascii="Times New Roman" w:hAnsi="Times New Roman" w:cs="Times New Roman"/>
          <w:sz w:val="24"/>
          <w:szCs w:val="24"/>
          <w:lang w:val="en-CA"/>
        </w:rPr>
        <w:t xml:space="preserve"> </w:t>
      </w:r>
      <w:r w:rsidRPr="003233D6">
        <w:rPr>
          <w:rFonts w:ascii="SymbolMT" w:eastAsia="SymbolMT" w:hAnsi="Times New Roman" w:cs="SymbolMT"/>
          <w:sz w:val="23"/>
          <w:szCs w:val="23"/>
        </w:rPr>
        <w:t>-</w:t>
      </w:r>
      <w:r w:rsidR="004305C4" w:rsidRPr="004305C4">
        <w:rPr>
          <w:rFonts w:ascii="Times New Roman" w:hAnsi="Times New Roman" w:cs="Times New Roman"/>
          <w:sz w:val="24"/>
          <w:szCs w:val="24"/>
        </w:rPr>
        <w:t xml:space="preserve"> </w:t>
      </w:r>
      <w:r w:rsidR="004305C4">
        <w:rPr>
          <w:rFonts w:ascii="Times New Roman" w:hAnsi="Times New Roman" w:cs="Times New Roman"/>
          <w:sz w:val="24"/>
          <w:szCs w:val="24"/>
        </w:rPr>
        <w:t>S</w:t>
      </w:r>
      <w:r w:rsidR="004305C4">
        <w:rPr>
          <w:rFonts w:ascii="Times New Roman" w:hAnsi="Times New Roman" w:cs="Times New Roman"/>
          <w:sz w:val="24"/>
          <w:szCs w:val="24"/>
          <w:vertAlign w:val="subscript"/>
        </w:rPr>
        <w:t>X</w:t>
      </w:r>
      <w:r w:rsidRPr="003233D6">
        <w:rPr>
          <w:rFonts w:ascii="Times New Roman" w:hAnsi="Times New Roman" w:cs="Times New Roman"/>
          <w:sz w:val="24"/>
          <w:szCs w:val="24"/>
        </w:rPr>
        <w:t xml:space="preserve">δ + </w:t>
      </w:r>
      <w:r>
        <w:rPr>
          <w:rFonts w:ascii="Times New Roman" w:hAnsi="Times New Roman" w:cs="Times New Roman"/>
          <w:sz w:val="24"/>
          <w:szCs w:val="24"/>
        </w:rPr>
        <w:t>λ</w:t>
      </w:r>
      <w:r w:rsidRPr="006E3855">
        <w:rPr>
          <w:rFonts w:ascii="Times New Roman" w:hAnsi="Times New Roman" w:cs="Times New Roman"/>
          <w:sz w:val="24"/>
          <w:szCs w:val="24"/>
          <w:vertAlign w:val="subscript"/>
        </w:rPr>
        <w:t>X</w:t>
      </w:r>
      <w:r w:rsidRPr="003233D6">
        <w:rPr>
          <w:rFonts w:ascii="Times New Roman" w:hAnsi="Times New Roman" w:cs="Times New Roman"/>
          <w:sz w:val="24"/>
          <w:szCs w:val="24"/>
        </w:rPr>
        <w:t xml:space="preserve"> [(h - (1 - </w:t>
      </w:r>
      <w:r w:rsidR="004305C4">
        <w:rPr>
          <w:rFonts w:ascii="Times New Roman" w:hAnsi="Times New Roman" w:cs="Times New Roman"/>
          <w:sz w:val="24"/>
          <w:szCs w:val="24"/>
        </w:rPr>
        <w:t>S</w:t>
      </w:r>
      <w:r w:rsidR="004305C4">
        <w:rPr>
          <w:rFonts w:ascii="Times New Roman" w:hAnsi="Times New Roman" w:cs="Times New Roman"/>
          <w:sz w:val="24"/>
          <w:szCs w:val="24"/>
          <w:vertAlign w:val="subscript"/>
        </w:rPr>
        <w:t>X</w:t>
      </w:r>
      <w:r w:rsidRPr="003233D6">
        <w:rPr>
          <w:rFonts w:ascii="Times New Roman" w:hAnsi="Times New Roman" w:cs="Times New Roman"/>
          <w:sz w:val="24"/>
          <w:szCs w:val="24"/>
        </w:rPr>
        <w:t xml:space="preserve">)δ] &gt; 0 </w:t>
      </w:r>
      <w:r>
        <w:rPr>
          <w:rFonts w:ascii="Times New Roman" w:hAnsi="Times New Roman" w:cs="Times New Roman"/>
          <w:sz w:val="24"/>
          <w:szCs w:val="24"/>
        </w:rPr>
        <w:t>(the alternative expression for the criterion for X to favor the deviation)</w:t>
      </w:r>
      <w:r w:rsidRPr="003233D6">
        <w:rPr>
          <w:rFonts w:ascii="Times New Roman" w:hAnsi="Times New Roman" w:cs="Times New Roman"/>
          <w:sz w:val="24"/>
          <w:szCs w:val="24"/>
        </w:rPr>
        <w:t xml:space="preserve"> </w:t>
      </w:r>
    </w:p>
    <w:p w14:paraId="0EB7461B" w14:textId="77777777" w:rsidR="00AC05CC" w:rsidRDefault="00AC05CC" w:rsidP="00046CBE">
      <w:pPr>
        <w:autoSpaceDE w:val="0"/>
        <w:autoSpaceDN w:val="0"/>
        <w:adjustRightInd w:val="0"/>
        <w:spacing w:after="0" w:line="240" w:lineRule="auto"/>
        <w:rPr>
          <w:rFonts w:ascii="Times New Roman" w:hAnsi="Times New Roman" w:cs="Times New Roman"/>
          <w:sz w:val="24"/>
          <w:szCs w:val="24"/>
        </w:rPr>
      </w:pPr>
    </w:p>
    <w:p w14:paraId="280923FF" w14:textId="77777777" w:rsidR="00AC05CC" w:rsidRDefault="00AC05CC" w:rsidP="00046C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This decision rule can be rewritten as follows:</w:t>
      </w:r>
      <w:r w:rsidRPr="003233D6">
        <w:rPr>
          <w:rFonts w:ascii="Times New Roman" w:hAnsi="Times New Roman" w:cs="Times New Roman"/>
          <w:sz w:val="24"/>
          <w:szCs w:val="24"/>
        </w:rPr>
        <w:t xml:space="preserve"> </w:t>
      </w:r>
    </w:p>
    <w:p w14:paraId="01B6AB3B" w14:textId="77777777" w:rsidR="00AC05CC" w:rsidRPr="003233D6" w:rsidRDefault="00AC05CC" w:rsidP="00046CBE">
      <w:pPr>
        <w:autoSpaceDE w:val="0"/>
        <w:autoSpaceDN w:val="0"/>
        <w:adjustRightInd w:val="0"/>
        <w:spacing w:after="0" w:line="240" w:lineRule="auto"/>
        <w:rPr>
          <w:rFonts w:ascii="Times New Roman" w:hAnsi="Times New Roman" w:cs="Times New Roman"/>
          <w:sz w:val="24"/>
          <w:szCs w:val="24"/>
        </w:rPr>
      </w:pPr>
    </w:p>
    <w:p w14:paraId="57D3B5BF" w14:textId="2344FFE2" w:rsidR="00AC05CC" w:rsidRPr="003233D6" w:rsidRDefault="00AC05CC" w:rsidP="00046C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λ</w:t>
      </w:r>
      <w:r w:rsidRPr="006E3855">
        <w:rPr>
          <w:rFonts w:ascii="Times New Roman" w:hAnsi="Times New Roman" w:cs="Times New Roman"/>
          <w:sz w:val="24"/>
          <w:szCs w:val="24"/>
          <w:vertAlign w:val="subscript"/>
        </w:rPr>
        <w:t>X</w:t>
      </w:r>
      <w:r w:rsidRPr="003233D6">
        <w:rPr>
          <w:rFonts w:ascii="Times New Roman" w:hAnsi="Times New Roman" w:cs="Times New Roman"/>
          <w:sz w:val="24"/>
          <w:szCs w:val="24"/>
        </w:rPr>
        <w:t xml:space="preserve"> [(h - (1 - </w:t>
      </w:r>
      <w:r w:rsidR="004305C4">
        <w:rPr>
          <w:rFonts w:ascii="Times New Roman" w:hAnsi="Times New Roman" w:cs="Times New Roman"/>
          <w:sz w:val="24"/>
          <w:szCs w:val="24"/>
        </w:rPr>
        <w:t>S</w:t>
      </w:r>
      <w:r w:rsidR="004305C4">
        <w:rPr>
          <w:rFonts w:ascii="Times New Roman" w:hAnsi="Times New Roman" w:cs="Times New Roman"/>
          <w:sz w:val="24"/>
          <w:szCs w:val="24"/>
          <w:vertAlign w:val="subscript"/>
        </w:rPr>
        <w:t>X</w:t>
      </w:r>
      <w:r w:rsidRPr="003233D6">
        <w:rPr>
          <w:rFonts w:ascii="Times New Roman" w:hAnsi="Times New Roman" w:cs="Times New Roman"/>
          <w:sz w:val="24"/>
          <w:szCs w:val="24"/>
        </w:rPr>
        <w:t>)δ]&gt; s</w:t>
      </w:r>
      <w:r>
        <w:rPr>
          <w:rFonts w:ascii="Times New Roman" w:hAnsi="Times New Roman" w:cs="Times New Roman"/>
          <w:sz w:val="24"/>
          <w:szCs w:val="24"/>
          <w:vertAlign w:val="subscript"/>
        </w:rPr>
        <w:t>X</w:t>
      </w:r>
      <w:r w:rsidRPr="003233D6">
        <w:rPr>
          <w:rFonts w:ascii="Times New Roman" w:hAnsi="Times New Roman" w:cs="Times New Roman"/>
          <w:sz w:val="24"/>
          <w:szCs w:val="24"/>
        </w:rPr>
        <w:t xml:space="preserve">δ </w:t>
      </w:r>
    </w:p>
    <w:p w14:paraId="6FF04CE2" w14:textId="77777777" w:rsidR="00AC05CC" w:rsidRDefault="00AC05CC" w:rsidP="00046CBE">
      <w:pPr>
        <w:autoSpaceDE w:val="0"/>
        <w:autoSpaceDN w:val="0"/>
        <w:adjustRightInd w:val="0"/>
        <w:spacing w:after="0" w:line="240" w:lineRule="auto"/>
        <w:rPr>
          <w:rFonts w:ascii="Times New Roman" w:hAnsi="Times New Roman" w:cs="Times New Roman"/>
          <w:sz w:val="24"/>
          <w:szCs w:val="24"/>
        </w:rPr>
      </w:pPr>
    </w:p>
    <w:p w14:paraId="70C26B8A" w14:textId="74C7D182" w:rsidR="00AC05CC" w:rsidRDefault="00AC05CC" w:rsidP="00046C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λ</w:t>
      </w:r>
      <w:r w:rsidRPr="006E3855">
        <w:rPr>
          <w:rFonts w:ascii="Times New Roman" w:hAnsi="Times New Roman" w:cs="Times New Roman"/>
          <w:sz w:val="24"/>
          <w:szCs w:val="24"/>
          <w:vertAlign w:val="subscript"/>
        </w:rPr>
        <w:t>X</w:t>
      </w:r>
      <w:r w:rsidRPr="003233D6">
        <w:rPr>
          <w:rFonts w:ascii="Times New Roman" w:hAnsi="Times New Roman" w:cs="Times New Roman"/>
          <w:sz w:val="24"/>
          <w:szCs w:val="24"/>
        </w:rPr>
        <w:t xml:space="preserve"> &gt; </w:t>
      </w:r>
      <w:r w:rsidR="004305C4">
        <w:rPr>
          <w:rFonts w:ascii="Times New Roman" w:hAnsi="Times New Roman" w:cs="Times New Roman"/>
          <w:sz w:val="24"/>
          <w:szCs w:val="24"/>
        </w:rPr>
        <w:t>S</w:t>
      </w:r>
      <w:r w:rsidR="004305C4">
        <w:rPr>
          <w:rFonts w:ascii="Times New Roman" w:hAnsi="Times New Roman" w:cs="Times New Roman"/>
          <w:sz w:val="24"/>
          <w:szCs w:val="24"/>
          <w:vertAlign w:val="subscript"/>
        </w:rPr>
        <w:t>X</w:t>
      </w:r>
      <w:r w:rsidRPr="003233D6">
        <w:rPr>
          <w:rFonts w:ascii="Times New Roman" w:hAnsi="Times New Roman" w:cs="Times New Roman"/>
          <w:sz w:val="24"/>
          <w:szCs w:val="24"/>
        </w:rPr>
        <w:t xml:space="preserve">δ/[(h - (1 - </w:t>
      </w:r>
      <w:r w:rsidR="004305C4">
        <w:rPr>
          <w:rFonts w:ascii="Times New Roman" w:hAnsi="Times New Roman" w:cs="Times New Roman"/>
          <w:sz w:val="24"/>
          <w:szCs w:val="24"/>
        </w:rPr>
        <w:t>S</w:t>
      </w:r>
      <w:r w:rsidR="004305C4">
        <w:rPr>
          <w:rFonts w:ascii="Times New Roman" w:hAnsi="Times New Roman" w:cs="Times New Roman"/>
          <w:sz w:val="24"/>
          <w:szCs w:val="24"/>
          <w:vertAlign w:val="subscript"/>
        </w:rPr>
        <w:t>X</w:t>
      </w:r>
      <w:r w:rsidRPr="003233D6">
        <w:rPr>
          <w:rFonts w:ascii="Times New Roman" w:hAnsi="Times New Roman" w:cs="Times New Roman"/>
          <w:sz w:val="24"/>
          <w:szCs w:val="24"/>
        </w:rPr>
        <w:t>)δ]</w:t>
      </w:r>
    </w:p>
    <w:p w14:paraId="6DA48DA2" w14:textId="77777777" w:rsidR="00AC05CC" w:rsidRPr="003233D6" w:rsidRDefault="00AC05CC" w:rsidP="00046CBE">
      <w:pPr>
        <w:autoSpaceDE w:val="0"/>
        <w:autoSpaceDN w:val="0"/>
        <w:adjustRightInd w:val="0"/>
        <w:spacing w:after="0" w:line="240" w:lineRule="auto"/>
        <w:rPr>
          <w:rFonts w:ascii="Times New Roman" w:hAnsi="Times New Roman" w:cs="Times New Roman"/>
          <w:sz w:val="24"/>
          <w:szCs w:val="24"/>
        </w:rPr>
      </w:pPr>
    </w:p>
    <w:p w14:paraId="5CDA6D78" w14:textId="457D063F" w:rsidR="00AC05CC" w:rsidRDefault="00AC05CC" w:rsidP="00046C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1/λ</w:t>
      </w:r>
      <w:r w:rsidRPr="006E3855">
        <w:rPr>
          <w:rFonts w:ascii="Times New Roman" w:hAnsi="Times New Roman" w:cs="Times New Roman"/>
          <w:sz w:val="24"/>
          <w:szCs w:val="24"/>
          <w:vertAlign w:val="subscript"/>
        </w:rPr>
        <w:t>X</w:t>
      </w:r>
      <w:r w:rsidRPr="003233D6">
        <w:rPr>
          <w:rFonts w:ascii="Times New Roman" w:hAnsi="Times New Roman" w:cs="Times New Roman"/>
          <w:sz w:val="24"/>
          <w:szCs w:val="24"/>
        </w:rPr>
        <w:t xml:space="preserve"> &lt; [(h - (1 - </w:t>
      </w:r>
      <w:r w:rsidR="004305C4">
        <w:rPr>
          <w:rFonts w:ascii="Times New Roman" w:hAnsi="Times New Roman" w:cs="Times New Roman"/>
          <w:sz w:val="24"/>
          <w:szCs w:val="24"/>
        </w:rPr>
        <w:t>S</w:t>
      </w:r>
      <w:r w:rsidR="004305C4">
        <w:rPr>
          <w:rFonts w:ascii="Times New Roman" w:hAnsi="Times New Roman" w:cs="Times New Roman"/>
          <w:sz w:val="24"/>
          <w:szCs w:val="24"/>
          <w:vertAlign w:val="subscript"/>
        </w:rPr>
        <w:t>X</w:t>
      </w:r>
      <w:r w:rsidRPr="003233D6">
        <w:rPr>
          <w:rFonts w:ascii="Times New Roman" w:hAnsi="Times New Roman" w:cs="Times New Roman"/>
          <w:sz w:val="24"/>
          <w:szCs w:val="24"/>
        </w:rPr>
        <w:t>)δ]/</w:t>
      </w:r>
      <w:r w:rsidR="004305C4">
        <w:rPr>
          <w:rFonts w:ascii="Times New Roman" w:hAnsi="Times New Roman" w:cs="Times New Roman"/>
          <w:sz w:val="24"/>
          <w:szCs w:val="24"/>
        </w:rPr>
        <w:t>S</w:t>
      </w:r>
      <w:r w:rsidR="004305C4">
        <w:rPr>
          <w:rFonts w:ascii="Times New Roman" w:hAnsi="Times New Roman" w:cs="Times New Roman"/>
          <w:sz w:val="24"/>
          <w:szCs w:val="24"/>
          <w:vertAlign w:val="subscript"/>
        </w:rPr>
        <w:t>X</w:t>
      </w:r>
      <w:r w:rsidRPr="003233D6">
        <w:rPr>
          <w:rFonts w:ascii="Times New Roman" w:hAnsi="Times New Roman" w:cs="Times New Roman"/>
          <w:sz w:val="24"/>
          <w:szCs w:val="24"/>
        </w:rPr>
        <w:t>δ</w:t>
      </w:r>
    </w:p>
    <w:p w14:paraId="42A68AE8" w14:textId="77777777" w:rsidR="00AC05CC" w:rsidRPr="003233D6" w:rsidRDefault="00AC05CC" w:rsidP="00046CBE">
      <w:pPr>
        <w:autoSpaceDE w:val="0"/>
        <w:autoSpaceDN w:val="0"/>
        <w:adjustRightInd w:val="0"/>
        <w:spacing w:after="0" w:line="240" w:lineRule="auto"/>
        <w:rPr>
          <w:rFonts w:ascii="Times New Roman" w:hAnsi="Times New Roman" w:cs="Times New Roman"/>
          <w:sz w:val="24"/>
          <w:szCs w:val="24"/>
        </w:rPr>
      </w:pPr>
    </w:p>
    <w:p w14:paraId="0A2BB8DB" w14:textId="002AC04B" w:rsidR="00AC05CC" w:rsidRPr="003233D6" w:rsidRDefault="00AC05CC" w:rsidP="00046C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r w:rsidRPr="003233D6">
        <w:rPr>
          <w:rFonts w:ascii="Times New Roman" w:hAnsi="Times New Roman" w:cs="Times New Roman"/>
          <w:sz w:val="24"/>
          <w:szCs w:val="24"/>
        </w:rPr>
        <w:t>1</w:t>
      </w:r>
      <w:r>
        <w:rPr>
          <w:rFonts w:ascii="Times New Roman" w:hAnsi="Times New Roman" w:cs="Times New Roman"/>
          <w:sz w:val="24"/>
          <w:szCs w:val="24"/>
        </w:rPr>
        <w:t>/λ</w:t>
      </w:r>
      <w:r w:rsidRPr="006E3855">
        <w:rPr>
          <w:rFonts w:ascii="Times New Roman" w:hAnsi="Times New Roman" w:cs="Times New Roman"/>
          <w:sz w:val="24"/>
          <w:szCs w:val="24"/>
          <w:vertAlign w:val="subscript"/>
        </w:rPr>
        <w:t>X</w:t>
      </w:r>
      <w:r w:rsidRPr="003233D6">
        <w:rPr>
          <w:rFonts w:ascii="Times New Roman" w:hAnsi="Times New Roman" w:cs="Times New Roman"/>
          <w:sz w:val="24"/>
          <w:szCs w:val="24"/>
        </w:rPr>
        <w:t xml:space="preserve"> &lt; h/</w:t>
      </w:r>
      <w:r w:rsidR="004305C4">
        <w:rPr>
          <w:rFonts w:ascii="Times New Roman" w:hAnsi="Times New Roman" w:cs="Times New Roman"/>
          <w:sz w:val="24"/>
          <w:szCs w:val="24"/>
        </w:rPr>
        <w:t>S</w:t>
      </w:r>
      <w:r w:rsidR="004305C4">
        <w:rPr>
          <w:rFonts w:ascii="Times New Roman" w:hAnsi="Times New Roman" w:cs="Times New Roman"/>
          <w:sz w:val="24"/>
          <w:szCs w:val="24"/>
          <w:vertAlign w:val="subscript"/>
        </w:rPr>
        <w:t>X</w:t>
      </w:r>
      <w:r w:rsidRPr="003233D6">
        <w:rPr>
          <w:rFonts w:ascii="Times New Roman" w:hAnsi="Times New Roman" w:cs="Times New Roman"/>
          <w:sz w:val="24"/>
          <w:szCs w:val="24"/>
        </w:rPr>
        <w:t xml:space="preserve">δ - [(1 - </w:t>
      </w:r>
      <w:r w:rsidR="004305C4">
        <w:rPr>
          <w:rFonts w:ascii="Times New Roman" w:hAnsi="Times New Roman" w:cs="Times New Roman"/>
          <w:sz w:val="24"/>
          <w:szCs w:val="24"/>
        </w:rPr>
        <w:t>S</w:t>
      </w:r>
      <w:r w:rsidR="004305C4">
        <w:rPr>
          <w:rFonts w:ascii="Times New Roman" w:hAnsi="Times New Roman" w:cs="Times New Roman"/>
          <w:sz w:val="24"/>
          <w:szCs w:val="24"/>
          <w:vertAlign w:val="subscript"/>
        </w:rPr>
        <w:t>X</w:t>
      </w:r>
      <w:r>
        <w:rPr>
          <w:rFonts w:ascii="Times New Roman" w:hAnsi="Times New Roman" w:cs="Times New Roman"/>
          <w:sz w:val="24"/>
          <w:szCs w:val="24"/>
        </w:rPr>
        <w:t>)δ]/</w:t>
      </w:r>
      <w:r w:rsidR="004305C4">
        <w:rPr>
          <w:rFonts w:ascii="Times New Roman" w:hAnsi="Times New Roman" w:cs="Times New Roman"/>
          <w:sz w:val="24"/>
          <w:szCs w:val="24"/>
        </w:rPr>
        <w:t>S</w:t>
      </w:r>
      <w:r w:rsidR="004305C4">
        <w:rPr>
          <w:rFonts w:ascii="Times New Roman" w:hAnsi="Times New Roman" w:cs="Times New Roman"/>
          <w:sz w:val="24"/>
          <w:szCs w:val="24"/>
          <w:vertAlign w:val="subscript"/>
        </w:rPr>
        <w:t>X</w:t>
      </w:r>
      <w:r w:rsidRPr="003233D6">
        <w:rPr>
          <w:rFonts w:ascii="Times New Roman" w:hAnsi="Times New Roman" w:cs="Times New Roman"/>
          <w:sz w:val="24"/>
          <w:szCs w:val="24"/>
        </w:rPr>
        <w:t>δ</w:t>
      </w:r>
    </w:p>
    <w:p w14:paraId="4A5F637A" w14:textId="77777777" w:rsidR="00AC05CC" w:rsidRPr="003233D6" w:rsidRDefault="00AC05CC" w:rsidP="00046CBE">
      <w:pPr>
        <w:autoSpaceDE w:val="0"/>
        <w:autoSpaceDN w:val="0"/>
        <w:adjustRightInd w:val="0"/>
        <w:spacing w:after="0" w:line="240" w:lineRule="auto"/>
        <w:rPr>
          <w:rFonts w:ascii="Times New Roman" w:hAnsi="Times New Roman" w:cs="Times New Roman"/>
          <w:sz w:val="24"/>
          <w:szCs w:val="24"/>
        </w:rPr>
      </w:pPr>
    </w:p>
    <w:p w14:paraId="487828D2" w14:textId="027FA2E5" w:rsidR="00AC05CC" w:rsidRPr="003233D6" w:rsidRDefault="00AC05CC" w:rsidP="00046C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w:t>
      </w:r>
      <w:r w:rsidRPr="003233D6">
        <w:rPr>
          <w:rFonts w:ascii="Times New Roman" w:hAnsi="Times New Roman" w:cs="Times New Roman"/>
          <w:sz w:val="24"/>
          <w:szCs w:val="24"/>
        </w:rPr>
        <w:t>1/</w:t>
      </w:r>
      <w:r>
        <w:rPr>
          <w:rFonts w:ascii="Times New Roman" w:hAnsi="Times New Roman" w:cs="Times New Roman"/>
          <w:sz w:val="24"/>
          <w:szCs w:val="24"/>
        </w:rPr>
        <w:t>λ</w:t>
      </w:r>
      <w:r w:rsidRPr="006E3855">
        <w:rPr>
          <w:rFonts w:ascii="Times New Roman" w:hAnsi="Times New Roman" w:cs="Times New Roman"/>
          <w:sz w:val="24"/>
          <w:szCs w:val="24"/>
          <w:vertAlign w:val="subscript"/>
        </w:rPr>
        <w:t>X</w:t>
      </w:r>
      <w:r w:rsidRPr="003233D6">
        <w:rPr>
          <w:rFonts w:ascii="Times New Roman" w:hAnsi="Times New Roman" w:cs="Times New Roman"/>
          <w:sz w:val="24"/>
          <w:szCs w:val="24"/>
        </w:rPr>
        <w:t xml:space="preserve"> </w:t>
      </w:r>
      <w:r>
        <w:rPr>
          <w:rFonts w:ascii="Times New Roman" w:hAnsi="Times New Roman" w:cs="Times New Roman"/>
          <w:sz w:val="24"/>
          <w:szCs w:val="24"/>
        </w:rPr>
        <w:t xml:space="preserve">&lt; </w:t>
      </w:r>
      <w:r w:rsidRPr="003233D6">
        <w:rPr>
          <w:rFonts w:ascii="Times New Roman" w:hAnsi="Times New Roman" w:cs="Times New Roman"/>
          <w:sz w:val="24"/>
          <w:szCs w:val="24"/>
        </w:rPr>
        <w:t>E/</w:t>
      </w:r>
      <w:r w:rsidR="004305C4">
        <w:rPr>
          <w:rFonts w:ascii="Times New Roman" w:hAnsi="Times New Roman" w:cs="Times New Roman"/>
          <w:sz w:val="24"/>
          <w:szCs w:val="24"/>
        </w:rPr>
        <w:t>S</w:t>
      </w:r>
      <w:r w:rsidR="004305C4">
        <w:rPr>
          <w:rFonts w:ascii="Times New Roman" w:hAnsi="Times New Roman" w:cs="Times New Roman"/>
          <w:sz w:val="24"/>
          <w:szCs w:val="24"/>
          <w:vertAlign w:val="subscript"/>
        </w:rPr>
        <w:t>X</w:t>
      </w:r>
      <w:r w:rsidRPr="003233D6">
        <w:rPr>
          <w:rFonts w:ascii="Times New Roman" w:hAnsi="Times New Roman" w:cs="Times New Roman"/>
          <w:sz w:val="24"/>
          <w:szCs w:val="24"/>
        </w:rPr>
        <w:t xml:space="preserve"> - [(1 - </w:t>
      </w:r>
      <w:r w:rsidR="004305C4">
        <w:rPr>
          <w:rFonts w:ascii="Times New Roman" w:hAnsi="Times New Roman" w:cs="Times New Roman"/>
          <w:sz w:val="24"/>
          <w:szCs w:val="24"/>
        </w:rPr>
        <w:t>S</w:t>
      </w:r>
      <w:r w:rsidR="004305C4">
        <w:rPr>
          <w:rFonts w:ascii="Times New Roman" w:hAnsi="Times New Roman" w:cs="Times New Roman"/>
          <w:sz w:val="24"/>
          <w:szCs w:val="24"/>
          <w:vertAlign w:val="subscript"/>
        </w:rPr>
        <w:t>X</w:t>
      </w:r>
      <w:r w:rsidRPr="003233D6">
        <w:rPr>
          <w:rFonts w:ascii="Times New Roman" w:hAnsi="Times New Roman" w:cs="Times New Roman"/>
          <w:sz w:val="24"/>
          <w:szCs w:val="24"/>
        </w:rPr>
        <w:t>)/</w:t>
      </w:r>
      <w:r w:rsidR="004305C4">
        <w:rPr>
          <w:rFonts w:ascii="Times New Roman" w:hAnsi="Times New Roman" w:cs="Times New Roman"/>
          <w:sz w:val="24"/>
          <w:szCs w:val="24"/>
        </w:rPr>
        <w:t>S</w:t>
      </w:r>
      <w:r w:rsidR="004305C4">
        <w:rPr>
          <w:rFonts w:ascii="Times New Roman" w:hAnsi="Times New Roman" w:cs="Times New Roman"/>
          <w:sz w:val="24"/>
          <w:szCs w:val="24"/>
          <w:vertAlign w:val="subscript"/>
        </w:rPr>
        <w:t>X</w:t>
      </w:r>
      <w:r w:rsidRPr="003233D6">
        <w:rPr>
          <w:rFonts w:ascii="Times New Roman" w:hAnsi="Times New Roman" w:cs="Times New Roman"/>
          <w:sz w:val="24"/>
          <w:szCs w:val="24"/>
        </w:rPr>
        <w:t xml:space="preserve">] </w:t>
      </w:r>
      <w:r>
        <w:rPr>
          <w:rFonts w:ascii="Times New Roman" w:hAnsi="Times New Roman" w:cs="Times New Roman"/>
          <w:sz w:val="24"/>
          <w:szCs w:val="24"/>
        </w:rPr>
        <w:t xml:space="preserve">(E being defined as equal to </w:t>
      </w:r>
      <w:r w:rsidRPr="003233D6">
        <w:rPr>
          <w:rFonts w:ascii="Times New Roman" w:hAnsi="Times New Roman" w:cs="Times New Roman"/>
          <w:sz w:val="24"/>
          <w:szCs w:val="24"/>
        </w:rPr>
        <w:t>h/δ</w:t>
      </w:r>
      <w:r>
        <w:rPr>
          <w:rFonts w:ascii="Times New Roman" w:hAnsi="Times New Roman" w:cs="Times New Roman"/>
          <w:sz w:val="24"/>
          <w:szCs w:val="24"/>
        </w:rPr>
        <w:t>, with E&gt;1 by assumption)</w:t>
      </w:r>
    </w:p>
    <w:p w14:paraId="44C2D08A" w14:textId="77777777" w:rsidR="00AC05CC" w:rsidRPr="003233D6" w:rsidRDefault="00AC05CC" w:rsidP="00046CBE">
      <w:pPr>
        <w:autoSpaceDE w:val="0"/>
        <w:autoSpaceDN w:val="0"/>
        <w:adjustRightInd w:val="0"/>
        <w:spacing w:after="0" w:line="240" w:lineRule="auto"/>
        <w:rPr>
          <w:rFonts w:ascii="Times New Roman" w:hAnsi="Times New Roman" w:cs="Times New Roman"/>
          <w:sz w:val="24"/>
          <w:szCs w:val="24"/>
        </w:rPr>
      </w:pPr>
      <w:r w:rsidRPr="003233D6">
        <w:rPr>
          <w:rFonts w:ascii="Times New Roman" w:hAnsi="Times New Roman" w:cs="Times New Roman"/>
          <w:sz w:val="24"/>
          <w:szCs w:val="24"/>
        </w:rPr>
        <w:tab/>
      </w:r>
      <w:r w:rsidRPr="003233D6">
        <w:rPr>
          <w:rFonts w:ascii="Times New Roman" w:hAnsi="Times New Roman" w:cs="Times New Roman"/>
          <w:sz w:val="24"/>
          <w:szCs w:val="24"/>
        </w:rPr>
        <w:tab/>
      </w:r>
    </w:p>
    <w:p w14:paraId="00C70638" w14:textId="6E47A421" w:rsidR="00AC05CC" w:rsidRPr="003233D6" w:rsidRDefault="00AC05CC" w:rsidP="00046C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w:t>
      </w:r>
      <w:r w:rsidRPr="003233D6">
        <w:rPr>
          <w:rFonts w:ascii="Times New Roman" w:hAnsi="Times New Roman" w:cs="Times New Roman"/>
          <w:sz w:val="24"/>
          <w:szCs w:val="24"/>
        </w:rPr>
        <w:t>1/</w:t>
      </w:r>
      <w:r>
        <w:rPr>
          <w:rFonts w:ascii="Times New Roman" w:hAnsi="Times New Roman" w:cs="Times New Roman"/>
          <w:sz w:val="24"/>
          <w:szCs w:val="24"/>
        </w:rPr>
        <w:t>λ</w:t>
      </w:r>
      <w:r w:rsidRPr="006E3855">
        <w:rPr>
          <w:rFonts w:ascii="Times New Roman" w:hAnsi="Times New Roman" w:cs="Times New Roman"/>
          <w:sz w:val="24"/>
          <w:szCs w:val="24"/>
          <w:vertAlign w:val="subscript"/>
        </w:rPr>
        <w:t>X</w:t>
      </w:r>
      <w:r w:rsidRPr="003233D6">
        <w:rPr>
          <w:rFonts w:ascii="Times New Roman" w:hAnsi="Times New Roman" w:cs="Times New Roman"/>
          <w:sz w:val="24"/>
          <w:szCs w:val="24"/>
        </w:rPr>
        <w:t xml:space="preserve"> &lt; (E </w:t>
      </w:r>
      <w:r>
        <w:rPr>
          <w:rFonts w:ascii="Times New Roman" w:hAnsi="Times New Roman" w:cs="Times New Roman"/>
          <w:sz w:val="24"/>
          <w:szCs w:val="24"/>
        </w:rPr>
        <w:t>-</w:t>
      </w:r>
      <w:r w:rsidRPr="003233D6">
        <w:rPr>
          <w:rFonts w:ascii="Times New Roman" w:hAnsi="Times New Roman" w:cs="Times New Roman"/>
          <w:sz w:val="24"/>
          <w:szCs w:val="24"/>
        </w:rPr>
        <w:t xml:space="preserve"> 1</w:t>
      </w:r>
      <w:r>
        <w:rPr>
          <w:rFonts w:ascii="Times New Roman" w:hAnsi="Times New Roman" w:cs="Times New Roman"/>
          <w:sz w:val="24"/>
          <w:szCs w:val="24"/>
        </w:rPr>
        <w:t xml:space="preserve"> + </w:t>
      </w:r>
      <w:r w:rsidR="004305C4">
        <w:rPr>
          <w:rFonts w:ascii="Times New Roman" w:hAnsi="Times New Roman" w:cs="Times New Roman"/>
          <w:sz w:val="24"/>
          <w:szCs w:val="24"/>
        </w:rPr>
        <w:t>S</w:t>
      </w:r>
      <w:r w:rsidR="004305C4">
        <w:rPr>
          <w:rFonts w:ascii="Times New Roman" w:hAnsi="Times New Roman" w:cs="Times New Roman"/>
          <w:sz w:val="24"/>
          <w:szCs w:val="24"/>
          <w:vertAlign w:val="subscript"/>
        </w:rPr>
        <w:t>X</w:t>
      </w:r>
      <w:r>
        <w:rPr>
          <w:rFonts w:ascii="Times New Roman" w:hAnsi="Times New Roman" w:cs="Times New Roman"/>
          <w:sz w:val="24"/>
          <w:szCs w:val="24"/>
        </w:rPr>
        <w:t>)/</w:t>
      </w:r>
      <w:r w:rsidR="004305C4">
        <w:rPr>
          <w:rFonts w:ascii="Times New Roman" w:hAnsi="Times New Roman" w:cs="Times New Roman"/>
          <w:sz w:val="24"/>
          <w:szCs w:val="24"/>
        </w:rPr>
        <w:t>S</w:t>
      </w:r>
      <w:r w:rsidR="004305C4">
        <w:rPr>
          <w:rFonts w:ascii="Times New Roman" w:hAnsi="Times New Roman" w:cs="Times New Roman"/>
          <w:sz w:val="24"/>
          <w:szCs w:val="24"/>
          <w:vertAlign w:val="subscript"/>
        </w:rPr>
        <w:t>X</w:t>
      </w:r>
      <w:r w:rsidR="004305C4" w:rsidRPr="003233D6">
        <w:rPr>
          <w:rFonts w:ascii="Times New Roman" w:hAnsi="Times New Roman" w:cs="Times New Roman"/>
          <w:sz w:val="24"/>
          <w:szCs w:val="24"/>
        </w:rPr>
        <w:t xml:space="preserve"> </w:t>
      </w:r>
    </w:p>
    <w:p w14:paraId="6E463BC7" w14:textId="77777777" w:rsidR="00AC05CC" w:rsidRDefault="00AC05CC" w:rsidP="00046CBE">
      <w:pPr>
        <w:autoSpaceDE w:val="0"/>
        <w:autoSpaceDN w:val="0"/>
        <w:adjustRightInd w:val="0"/>
        <w:spacing w:after="0" w:line="240" w:lineRule="auto"/>
        <w:rPr>
          <w:rFonts w:ascii="Times New Roman" w:hAnsi="Times New Roman" w:cs="Times New Roman"/>
          <w:sz w:val="24"/>
          <w:szCs w:val="24"/>
        </w:rPr>
      </w:pPr>
    </w:p>
    <w:p w14:paraId="17702C4B" w14:textId="77777777" w:rsidR="00AC05CC" w:rsidRDefault="00AC05CC" w:rsidP="00046C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So, X will favor the deviation if and only if:</w:t>
      </w:r>
    </w:p>
    <w:p w14:paraId="456006F2" w14:textId="77777777" w:rsidR="00AC05CC" w:rsidRDefault="00AC05CC" w:rsidP="00046CBE">
      <w:pPr>
        <w:autoSpaceDE w:val="0"/>
        <w:autoSpaceDN w:val="0"/>
        <w:adjustRightInd w:val="0"/>
        <w:spacing w:after="0" w:line="240" w:lineRule="auto"/>
        <w:rPr>
          <w:rFonts w:ascii="Times New Roman" w:hAnsi="Times New Roman" w:cs="Times New Roman"/>
          <w:sz w:val="24"/>
          <w:szCs w:val="24"/>
        </w:rPr>
      </w:pPr>
    </w:p>
    <w:p w14:paraId="0FF7599E" w14:textId="2730C6E7" w:rsidR="00AC05CC" w:rsidRPr="003233D6" w:rsidRDefault="00AC05CC" w:rsidP="00046C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 λ</w:t>
      </w:r>
      <w:r w:rsidRPr="006E3855">
        <w:rPr>
          <w:rFonts w:ascii="Times New Roman" w:hAnsi="Times New Roman" w:cs="Times New Roman"/>
          <w:sz w:val="24"/>
          <w:szCs w:val="24"/>
          <w:vertAlign w:val="subscript"/>
        </w:rPr>
        <w:t>X</w:t>
      </w:r>
      <w:r w:rsidRPr="003233D6">
        <w:rPr>
          <w:rFonts w:ascii="Times New Roman" w:hAnsi="Times New Roman" w:cs="Times New Roman"/>
          <w:sz w:val="24"/>
          <w:szCs w:val="24"/>
        </w:rPr>
        <w:t xml:space="preserve"> &gt; </w:t>
      </w:r>
      <w:r w:rsidR="004305C4">
        <w:rPr>
          <w:rFonts w:ascii="Times New Roman" w:hAnsi="Times New Roman" w:cs="Times New Roman"/>
          <w:sz w:val="24"/>
          <w:szCs w:val="24"/>
        </w:rPr>
        <w:t>S</w:t>
      </w:r>
      <w:r w:rsidR="004305C4">
        <w:rPr>
          <w:rFonts w:ascii="Times New Roman" w:hAnsi="Times New Roman" w:cs="Times New Roman"/>
          <w:sz w:val="24"/>
          <w:szCs w:val="24"/>
          <w:vertAlign w:val="subscript"/>
        </w:rPr>
        <w:t>X</w:t>
      </w:r>
      <w:r w:rsidRPr="003233D6">
        <w:rPr>
          <w:rFonts w:ascii="Times New Roman" w:hAnsi="Times New Roman" w:cs="Times New Roman"/>
          <w:sz w:val="24"/>
          <w:szCs w:val="24"/>
        </w:rPr>
        <w:t>/</w:t>
      </w:r>
      <w:r>
        <w:rPr>
          <w:rFonts w:ascii="Times New Roman" w:hAnsi="Times New Roman" w:cs="Times New Roman"/>
          <w:sz w:val="24"/>
          <w:szCs w:val="24"/>
        </w:rPr>
        <w:t>(</w:t>
      </w:r>
      <w:r w:rsidRPr="003233D6">
        <w:rPr>
          <w:rFonts w:ascii="Times New Roman" w:hAnsi="Times New Roman" w:cs="Times New Roman"/>
          <w:sz w:val="24"/>
          <w:szCs w:val="24"/>
        </w:rPr>
        <w:t xml:space="preserve">E </w:t>
      </w:r>
      <w:r>
        <w:rPr>
          <w:rFonts w:ascii="Times New Roman" w:hAnsi="Times New Roman" w:cs="Times New Roman"/>
          <w:sz w:val="24"/>
          <w:szCs w:val="24"/>
        </w:rPr>
        <w:t>-</w:t>
      </w:r>
      <w:r w:rsidRPr="003233D6">
        <w:rPr>
          <w:rFonts w:ascii="Times New Roman" w:hAnsi="Times New Roman" w:cs="Times New Roman"/>
          <w:sz w:val="24"/>
          <w:szCs w:val="24"/>
        </w:rPr>
        <w:t xml:space="preserve"> 1</w:t>
      </w:r>
      <w:r>
        <w:rPr>
          <w:rFonts w:ascii="Times New Roman" w:hAnsi="Times New Roman" w:cs="Times New Roman"/>
          <w:sz w:val="24"/>
          <w:szCs w:val="24"/>
        </w:rPr>
        <w:t xml:space="preserve"> + </w:t>
      </w:r>
      <w:r w:rsidR="004305C4">
        <w:rPr>
          <w:rFonts w:ascii="Times New Roman" w:hAnsi="Times New Roman" w:cs="Times New Roman"/>
          <w:sz w:val="24"/>
          <w:szCs w:val="24"/>
        </w:rPr>
        <w:t>S</w:t>
      </w:r>
      <w:r w:rsidR="004305C4">
        <w:rPr>
          <w:rFonts w:ascii="Times New Roman" w:hAnsi="Times New Roman" w:cs="Times New Roman"/>
          <w:sz w:val="24"/>
          <w:szCs w:val="24"/>
          <w:vertAlign w:val="subscript"/>
        </w:rPr>
        <w:t>X</w:t>
      </w:r>
      <w:r>
        <w:rPr>
          <w:rFonts w:ascii="Times New Roman" w:hAnsi="Times New Roman" w:cs="Times New Roman"/>
          <w:sz w:val="24"/>
          <w:szCs w:val="24"/>
        </w:rPr>
        <w:t>)</w:t>
      </w:r>
    </w:p>
    <w:p w14:paraId="1F35C4DD" w14:textId="77777777" w:rsidR="00AC05CC" w:rsidRDefault="00AC05CC" w:rsidP="00046CBE">
      <w:pPr>
        <w:autoSpaceDE w:val="0"/>
        <w:autoSpaceDN w:val="0"/>
        <w:adjustRightInd w:val="0"/>
        <w:spacing w:after="0" w:line="240" w:lineRule="auto"/>
        <w:rPr>
          <w:rFonts w:ascii="Times New Roman" w:hAnsi="Times New Roman" w:cs="Times New Roman"/>
          <w:sz w:val="24"/>
          <w:szCs w:val="24"/>
        </w:rPr>
      </w:pPr>
    </w:p>
    <w:p w14:paraId="6CCE0A2E" w14:textId="7D98B723" w:rsidR="00AC05CC" w:rsidRDefault="00AC05CC" w:rsidP="00046C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Because E &gt; 1 by assumption, the derivative of the right-hand size of (11) with respect to </w:t>
      </w:r>
      <w:r w:rsidR="00046CBE">
        <w:rPr>
          <w:rFonts w:ascii="Times New Roman" w:hAnsi="Times New Roman" w:cs="Times New Roman"/>
          <w:sz w:val="24"/>
          <w:szCs w:val="24"/>
        </w:rPr>
        <w:t>S</w:t>
      </w:r>
      <w:r w:rsidR="00046CBE">
        <w:rPr>
          <w:rFonts w:ascii="Times New Roman" w:hAnsi="Times New Roman" w:cs="Times New Roman"/>
          <w:sz w:val="24"/>
          <w:szCs w:val="24"/>
          <w:vertAlign w:val="subscript"/>
        </w:rPr>
        <w:t>X</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is positive. So, the smaller is </w:t>
      </w:r>
      <w:r w:rsidR="00F80489">
        <w:rPr>
          <w:rFonts w:ascii="Times New Roman" w:hAnsi="Times New Roman" w:cs="Times New Roman"/>
          <w:sz w:val="24"/>
          <w:szCs w:val="24"/>
        </w:rPr>
        <w:t>S</w:t>
      </w:r>
      <w:r w:rsidR="00F80489">
        <w:rPr>
          <w:rFonts w:ascii="Times New Roman" w:hAnsi="Times New Roman" w:cs="Times New Roman"/>
          <w:sz w:val="24"/>
          <w:szCs w:val="24"/>
          <w:vertAlign w:val="subscript"/>
        </w:rPr>
        <w:t>X</w:t>
      </w:r>
      <w:r>
        <w:rPr>
          <w:rFonts w:ascii="Times New Roman" w:hAnsi="Times New Roman" w:cs="Times New Roman"/>
          <w:sz w:val="24"/>
          <w:szCs w:val="24"/>
        </w:rPr>
        <w:t>, the smaller X’s empathy factor, λ</w:t>
      </w:r>
      <w:r w:rsidRPr="006E3855">
        <w:rPr>
          <w:rFonts w:ascii="Times New Roman" w:hAnsi="Times New Roman" w:cs="Times New Roman"/>
          <w:sz w:val="24"/>
          <w:szCs w:val="24"/>
          <w:vertAlign w:val="subscript"/>
        </w:rPr>
        <w:t>X</w:t>
      </w:r>
      <w:r>
        <w:rPr>
          <w:rFonts w:ascii="Times New Roman" w:hAnsi="Times New Roman" w:cs="Times New Roman"/>
          <w:sz w:val="24"/>
          <w:szCs w:val="24"/>
        </w:rPr>
        <w:t>, can be for X to still favor the deviation.</w:t>
      </w:r>
    </w:p>
    <w:p w14:paraId="376973E2" w14:textId="77777777" w:rsidR="00AC05CC" w:rsidRDefault="00AC05CC" w:rsidP="00046CBE">
      <w:pPr>
        <w:autoSpaceDE w:val="0"/>
        <w:autoSpaceDN w:val="0"/>
        <w:adjustRightInd w:val="0"/>
        <w:spacing w:after="0" w:line="240" w:lineRule="auto"/>
        <w:rPr>
          <w:rFonts w:ascii="Times New Roman" w:hAnsi="Times New Roman" w:cs="Times New Roman"/>
          <w:sz w:val="24"/>
          <w:szCs w:val="24"/>
        </w:rPr>
      </w:pPr>
    </w:p>
    <w:p w14:paraId="638F719A" w14:textId="77777777" w:rsidR="00AC05CC" w:rsidRDefault="00AC05CC" w:rsidP="00046CBE">
      <w:pPr>
        <w:spacing w:after="0" w:line="480" w:lineRule="auto"/>
        <w:jc w:val="both"/>
        <w:rPr>
          <w:rFonts w:ascii="Times New Roman" w:hAnsi="Times New Roman" w:cs="Times New Roman"/>
          <w:sz w:val="24"/>
          <w:szCs w:val="24"/>
        </w:rPr>
      </w:pPr>
      <w:r>
        <w:rPr>
          <w:rFonts w:ascii="Times New Roman" w:hAnsi="Times New Roman" w:cs="Times New Roman"/>
          <w:sz w:val="24"/>
          <w:szCs w:val="24"/>
          <w:u w:val="single"/>
        </w:rPr>
        <w:t>Proposition III</w:t>
      </w:r>
    </w:p>
    <w:p w14:paraId="11060C3F" w14:textId="77777777" w:rsidR="00AC05CC" w:rsidRDefault="00AC05CC" w:rsidP="00046C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All</w:t>
      </w:r>
      <w:r w:rsidRPr="00B817BD">
        <w:rPr>
          <w:rFonts w:ascii="Times New Roman" w:hAnsi="Times New Roman" w:cs="Times New Roman"/>
          <w:sz w:val="24"/>
          <w:szCs w:val="24"/>
        </w:rPr>
        <w:t xml:space="preserve"> else equal, the greater the deviation’s social welfare improvement relative to its cost, the more likely that X will vote in favor of </w:t>
      </w:r>
      <w:r>
        <w:rPr>
          <w:rFonts w:ascii="Times New Roman" w:hAnsi="Times New Roman" w:cs="Times New Roman"/>
          <w:sz w:val="24"/>
          <w:szCs w:val="24"/>
        </w:rPr>
        <w:t xml:space="preserve">a social welfare improving </w:t>
      </w:r>
      <w:r w:rsidRPr="00B817BD">
        <w:rPr>
          <w:rFonts w:ascii="Times New Roman" w:hAnsi="Times New Roman" w:cs="Times New Roman"/>
          <w:sz w:val="24"/>
          <w:szCs w:val="24"/>
        </w:rPr>
        <w:t>deviation.</w:t>
      </w:r>
    </w:p>
    <w:p w14:paraId="3010848F" w14:textId="77777777" w:rsidR="00AC05CC" w:rsidRDefault="00AC05CC" w:rsidP="00046CBE">
      <w:pPr>
        <w:autoSpaceDE w:val="0"/>
        <w:autoSpaceDN w:val="0"/>
        <w:adjustRightInd w:val="0"/>
        <w:spacing w:after="0" w:line="240" w:lineRule="auto"/>
        <w:rPr>
          <w:rFonts w:ascii="Times New Roman" w:hAnsi="Times New Roman" w:cs="Times New Roman"/>
          <w:sz w:val="24"/>
          <w:szCs w:val="24"/>
        </w:rPr>
      </w:pPr>
    </w:p>
    <w:p w14:paraId="04BA3A38" w14:textId="77777777" w:rsidR="00AC05CC" w:rsidRDefault="00AC05CC" w:rsidP="00046CBE">
      <w:pPr>
        <w:autoSpaceDE w:val="0"/>
        <w:autoSpaceDN w:val="0"/>
        <w:adjustRightInd w:val="0"/>
        <w:spacing w:after="0" w:line="240" w:lineRule="auto"/>
        <w:rPr>
          <w:rFonts w:ascii="Times New Roman" w:hAnsi="Times New Roman" w:cs="Times New Roman"/>
          <w:sz w:val="24"/>
          <w:szCs w:val="24"/>
          <w:u w:val="single"/>
        </w:rPr>
      </w:pPr>
      <w:r w:rsidRPr="00881EEE">
        <w:rPr>
          <w:rFonts w:ascii="Times New Roman" w:hAnsi="Times New Roman" w:cs="Times New Roman"/>
          <w:sz w:val="24"/>
          <w:szCs w:val="24"/>
          <w:u w:val="single"/>
        </w:rPr>
        <w:t>Proof</w:t>
      </w:r>
    </w:p>
    <w:p w14:paraId="775828C4" w14:textId="77777777" w:rsidR="00AC05CC" w:rsidRDefault="00AC05CC" w:rsidP="00046CBE">
      <w:pPr>
        <w:autoSpaceDE w:val="0"/>
        <w:autoSpaceDN w:val="0"/>
        <w:adjustRightInd w:val="0"/>
        <w:spacing w:after="0" w:line="240" w:lineRule="auto"/>
        <w:rPr>
          <w:rFonts w:ascii="Times New Roman" w:hAnsi="Times New Roman" w:cs="Times New Roman"/>
          <w:sz w:val="24"/>
          <w:szCs w:val="24"/>
        </w:rPr>
      </w:pPr>
    </w:p>
    <w:p w14:paraId="0C20F0C6" w14:textId="77777777" w:rsidR="00AC05CC" w:rsidRDefault="00AC05CC" w:rsidP="00046C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Refer again to (11). The greater E = </w:t>
      </w:r>
      <w:r w:rsidRPr="0098327F">
        <w:rPr>
          <w:rFonts w:ascii="Times New Roman" w:hAnsi="Times New Roman" w:cs="Times New Roman"/>
          <w:sz w:val="24"/>
        </w:rPr>
        <w:t>h/δ</w:t>
      </w:r>
      <w:r>
        <w:rPr>
          <w:rFonts w:ascii="Times New Roman" w:hAnsi="Times New Roman" w:cs="Times New Roman"/>
          <w:sz w:val="24"/>
        </w:rPr>
        <w:t xml:space="preserve"> (the externality improvement ratio) is, </w:t>
      </w:r>
      <w:r>
        <w:rPr>
          <w:rFonts w:ascii="Times New Roman" w:hAnsi="Times New Roman" w:cs="Times New Roman"/>
          <w:sz w:val="24"/>
          <w:szCs w:val="24"/>
        </w:rPr>
        <w:t>the smaller X’s empathy factor, λ</w:t>
      </w:r>
      <w:r w:rsidRPr="006E3855">
        <w:rPr>
          <w:rFonts w:ascii="Times New Roman" w:hAnsi="Times New Roman" w:cs="Times New Roman"/>
          <w:sz w:val="24"/>
          <w:szCs w:val="24"/>
          <w:vertAlign w:val="subscript"/>
        </w:rPr>
        <w:t>X</w:t>
      </w:r>
      <w:r>
        <w:rPr>
          <w:rFonts w:ascii="Times New Roman" w:hAnsi="Times New Roman" w:cs="Times New Roman"/>
          <w:sz w:val="24"/>
          <w:szCs w:val="24"/>
        </w:rPr>
        <w:t>, can be for X to still favor the deviation.</w:t>
      </w:r>
    </w:p>
    <w:p w14:paraId="66C1A249" w14:textId="77777777" w:rsidR="00AC05CC" w:rsidRDefault="00AC05CC" w:rsidP="00046CBE">
      <w:pPr>
        <w:autoSpaceDE w:val="0"/>
        <w:autoSpaceDN w:val="0"/>
        <w:adjustRightInd w:val="0"/>
        <w:spacing w:after="0" w:line="240" w:lineRule="auto"/>
        <w:rPr>
          <w:rFonts w:ascii="Times New Roman" w:hAnsi="Times New Roman" w:cs="Times New Roman"/>
          <w:sz w:val="24"/>
          <w:szCs w:val="24"/>
          <w:u w:val="single"/>
        </w:rPr>
      </w:pPr>
    </w:p>
    <w:p w14:paraId="2D7BB9DD" w14:textId="77777777" w:rsidR="00AC05CC" w:rsidRDefault="00AC05CC" w:rsidP="00046C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 Stylized Example</w:t>
      </w:r>
    </w:p>
    <w:p w14:paraId="7E9629F9" w14:textId="77777777" w:rsidR="00AC05CC" w:rsidRDefault="00AC05CC" w:rsidP="00046CBE">
      <w:pPr>
        <w:autoSpaceDE w:val="0"/>
        <w:autoSpaceDN w:val="0"/>
        <w:adjustRightInd w:val="0"/>
        <w:spacing w:after="0" w:line="240" w:lineRule="auto"/>
        <w:rPr>
          <w:rFonts w:ascii="Times New Roman" w:hAnsi="Times New Roman" w:cs="Times New Roman"/>
          <w:sz w:val="24"/>
          <w:szCs w:val="24"/>
        </w:rPr>
      </w:pPr>
    </w:p>
    <w:p w14:paraId="61D53BBA" w14:textId="124A449B" w:rsidR="00AC05CC" w:rsidRDefault="00AC05CC" w:rsidP="00046C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Suppose that </w:t>
      </w:r>
      <w:r w:rsidR="00046CBE">
        <w:rPr>
          <w:rFonts w:ascii="Times New Roman" w:hAnsi="Times New Roman" w:cs="Times New Roman"/>
          <w:sz w:val="24"/>
          <w:szCs w:val="24"/>
        </w:rPr>
        <w:t>S</w:t>
      </w:r>
      <w:r w:rsidR="00046CBE">
        <w:rPr>
          <w:rFonts w:ascii="Times New Roman" w:hAnsi="Times New Roman" w:cs="Times New Roman"/>
          <w:sz w:val="24"/>
          <w:szCs w:val="24"/>
          <w:vertAlign w:val="subscript"/>
        </w:rPr>
        <w:t>X</w:t>
      </w:r>
      <w:r w:rsidR="00046CBE">
        <w:rPr>
          <w:rFonts w:ascii="Times New Roman" w:hAnsi="Times New Roman" w:cs="Times New Roman"/>
          <w:sz w:val="24"/>
          <w:szCs w:val="24"/>
        </w:rPr>
        <w:t xml:space="preserve"> </w:t>
      </w:r>
      <w:r>
        <w:rPr>
          <w:rFonts w:ascii="Times New Roman" w:hAnsi="Times New Roman" w:cs="Times New Roman"/>
          <w:sz w:val="24"/>
          <w:szCs w:val="24"/>
        </w:rPr>
        <w:t>= 1/100</w:t>
      </w:r>
      <w:r w:rsidR="00A83C90">
        <w:rPr>
          <w:rFonts w:ascii="Times New Roman" w:hAnsi="Times New Roman" w:cs="Times New Roman"/>
          <w:sz w:val="24"/>
          <w:szCs w:val="24"/>
        </w:rPr>
        <w:t>,</w:t>
      </w:r>
      <w:r>
        <w:rPr>
          <w:rFonts w:ascii="Times New Roman" w:hAnsi="Times New Roman" w:cs="Times New Roman"/>
          <w:sz w:val="24"/>
          <w:szCs w:val="24"/>
        </w:rPr>
        <w:t>00</w:t>
      </w:r>
      <w:r w:rsidR="00A83C90">
        <w:rPr>
          <w:rFonts w:ascii="Times New Roman" w:hAnsi="Times New Roman" w:cs="Times New Roman"/>
          <w:sz w:val="24"/>
          <w:szCs w:val="24"/>
        </w:rPr>
        <w:t>0</w:t>
      </w:r>
      <w:r>
        <w:rPr>
          <w:rFonts w:ascii="Times New Roman" w:hAnsi="Times New Roman" w:cs="Times New Roman"/>
          <w:sz w:val="24"/>
          <w:szCs w:val="24"/>
        </w:rPr>
        <w:t>, i.e., X owned 1/100</w:t>
      </w:r>
      <w:r w:rsidR="00A83C90">
        <w:rPr>
          <w:rFonts w:ascii="Times New Roman" w:hAnsi="Times New Roman" w:cs="Times New Roman"/>
          <w:sz w:val="24"/>
          <w:szCs w:val="24"/>
        </w:rPr>
        <w:t>0</w:t>
      </w:r>
      <w:r>
        <w:rPr>
          <w:rFonts w:ascii="Times New Roman" w:hAnsi="Times New Roman" w:cs="Times New Roman"/>
          <w:sz w:val="24"/>
          <w:szCs w:val="24"/>
        </w:rPr>
        <w:t xml:space="preserve"> of 1% of a publicly traded company, and that E = 1.2, i.e. the net social benefit from the impact of A’s externality eliminating behavior change is 1.2 times the cost to A and thus to its shareholders. Based on equation (11), for X to favor the deviation:</w:t>
      </w:r>
    </w:p>
    <w:p w14:paraId="4C613B97" w14:textId="77777777" w:rsidR="00AC05CC" w:rsidRDefault="00AC05CC" w:rsidP="00046CBE">
      <w:pPr>
        <w:autoSpaceDE w:val="0"/>
        <w:autoSpaceDN w:val="0"/>
        <w:adjustRightInd w:val="0"/>
        <w:spacing w:after="0" w:line="240" w:lineRule="auto"/>
        <w:rPr>
          <w:rFonts w:ascii="Times New Roman" w:hAnsi="Times New Roman" w:cs="Times New Roman"/>
          <w:sz w:val="24"/>
          <w:szCs w:val="24"/>
        </w:rPr>
      </w:pPr>
    </w:p>
    <w:p w14:paraId="4937F4B5" w14:textId="772477C0" w:rsidR="00AC05CC" w:rsidRDefault="00AC05CC" w:rsidP="00046C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λ</w:t>
      </w:r>
      <w:r w:rsidRPr="006E3855">
        <w:rPr>
          <w:rFonts w:ascii="Times New Roman" w:hAnsi="Times New Roman" w:cs="Times New Roman"/>
          <w:sz w:val="24"/>
          <w:szCs w:val="24"/>
          <w:vertAlign w:val="subscript"/>
        </w:rPr>
        <w:t>X</w:t>
      </w:r>
      <w:r w:rsidRPr="003233D6">
        <w:rPr>
          <w:rFonts w:ascii="Times New Roman" w:hAnsi="Times New Roman" w:cs="Times New Roman"/>
          <w:sz w:val="24"/>
          <w:szCs w:val="24"/>
        </w:rPr>
        <w:t xml:space="preserve"> &gt; </w:t>
      </w:r>
      <w:r w:rsidR="00046CBE">
        <w:rPr>
          <w:rFonts w:ascii="Times New Roman" w:hAnsi="Times New Roman" w:cs="Times New Roman"/>
          <w:sz w:val="24"/>
          <w:szCs w:val="24"/>
        </w:rPr>
        <w:t>S</w:t>
      </w:r>
      <w:r w:rsidR="00046CBE">
        <w:rPr>
          <w:rFonts w:ascii="Times New Roman" w:hAnsi="Times New Roman" w:cs="Times New Roman"/>
          <w:sz w:val="24"/>
          <w:szCs w:val="24"/>
          <w:vertAlign w:val="subscript"/>
        </w:rPr>
        <w:t>X</w:t>
      </w:r>
      <w:r w:rsidRPr="003233D6">
        <w:rPr>
          <w:rFonts w:ascii="Times New Roman" w:hAnsi="Times New Roman" w:cs="Times New Roman"/>
          <w:sz w:val="24"/>
          <w:szCs w:val="24"/>
        </w:rPr>
        <w:t>/</w:t>
      </w:r>
      <w:r>
        <w:rPr>
          <w:rFonts w:ascii="Times New Roman" w:hAnsi="Times New Roman" w:cs="Times New Roman"/>
          <w:sz w:val="24"/>
          <w:szCs w:val="24"/>
        </w:rPr>
        <w:t>(</w:t>
      </w:r>
      <w:r w:rsidRPr="003233D6">
        <w:rPr>
          <w:rFonts w:ascii="Times New Roman" w:hAnsi="Times New Roman" w:cs="Times New Roman"/>
          <w:sz w:val="24"/>
          <w:szCs w:val="24"/>
        </w:rPr>
        <w:t xml:space="preserve">E </w:t>
      </w:r>
      <w:r>
        <w:rPr>
          <w:rFonts w:ascii="Times New Roman" w:hAnsi="Times New Roman" w:cs="Times New Roman"/>
          <w:sz w:val="24"/>
          <w:szCs w:val="24"/>
        </w:rPr>
        <w:t>-</w:t>
      </w:r>
      <w:r w:rsidRPr="003233D6">
        <w:rPr>
          <w:rFonts w:ascii="Times New Roman" w:hAnsi="Times New Roman" w:cs="Times New Roman"/>
          <w:sz w:val="24"/>
          <w:szCs w:val="24"/>
        </w:rPr>
        <w:t xml:space="preserve"> 1</w:t>
      </w:r>
      <w:r>
        <w:rPr>
          <w:rFonts w:ascii="Times New Roman" w:hAnsi="Times New Roman" w:cs="Times New Roman"/>
          <w:sz w:val="24"/>
          <w:szCs w:val="24"/>
        </w:rPr>
        <w:t xml:space="preserve"> + </w:t>
      </w:r>
      <w:r w:rsidR="00046CBE">
        <w:rPr>
          <w:rFonts w:ascii="Times New Roman" w:hAnsi="Times New Roman" w:cs="Times New Roman"/>
          <w:sz w:val="24"/>
          <w:szCs w:val="24"/>
        </w:rPr>
        <w:t>S</w:t>
      </w:r>
      <w:r w:rsidR="00046CBE">
        <w:rPr>
          <w:rFonts w:ascii="Times New Roman" w:hAnsi="Times New Roman" w:cs="Times New Roman"/>
          <w:sz w:val="24"/>
          <w:szCs w:val="24"/>
          <w:vertAlign w:val="subscript"/>
        </w:rPr>
        <w:t>X</w:t>
      </w:r>
      <w:r>
        <w:rPr>
          <w:rFonts w:ascii="Times New Roman" w:hAnsi="Times New Roman" w:cs="Times New Roman"/>
          <w:sz w:val="24"/>
          <w:szCs w:val="24"/>
        </w:rPr>
        <w:t>) = 0.000</w:t>
      </w:r>
      <w:r w:rsidR="00D14446">
        <w:rPr>
          <w:rFonts w:ascii="Times New Roman" w:hAnsi="Times New Roman" w:cs="Times New Roman"/>
          <w:sz w:val="24"/>
          <w:szCs w:val="24"/>
        </w:rPr>
        <w:t>0</w:t>
      </w:r>
      <w:r>
        <w:rPr>
          <w:rFonts w:ascii="Times New Roman" w:hAnsi="Times New Roman" w:cs="Times New Roman"/>
          <w:sz w:val="24"/>
          <w:szCs w:val="24"/>
        </w:rPr>
        <w:t>1</w:t>
      </w:r>
      <w:r w:rsidRPr="003233D6">
        <w:rPr>
          <w:rFonts w:ascii="Times New Roman" w:hAnsi="Times New Roman" w:cs="Times New Roman"/>
          <w:sz w:val="24"/>
          <w:szCs w:val="24"/>
        </w:rPr>
        <w:t>/(</w:t>
      </w:r>
      <w:r>
        <w:rPr>
          <w:rFonts w:ascii="Times New Roman" w:hAnsi="Times New Roman" w:cs="Times New Roman"/>
          <w:sz w:val="24"/>
          <w:szCs w:val="24"/>
        </w:rPr>
        <w:t>1.2</w:t>
      </w:r>
      <w:r w:rsidRPr="003233D6">
        <w:rPr>
          <w:rFonts w:ascii="Times New Roman" w:hAnsi="Times New Roman" w:cs="Times New Roman"/>
          <w:sz w:val="24"/>
          <w:szCs w:val="24"/>
        </w:rPr>
        <w:t xml:space="preserve"> </w:t>
      </w:r>
      <w:r>
        <w:rPr>
          <w:rFonts w:ascii="Times New Roman" w:hAnsi="Times New Roman" w:cs="Times New Roman"/>
          <w:sz w:val="24"/>
          <w:szCs w:val="24"/>
        </w:rPr>
        <w:t>–</w:t>
      </w:r>
      <w:r w:rsidRPr="003233D6">
        <w:rPr>
          <w:rFonts w:ascii="Times New Roman" w:hAnsi="Times New Roman" w:cs="Times New Roman"/>
          <w:sz w:val="24"/>
          <w:szCs w:val="24"/>
        </w:rPr>
        <w:t xml:space="preserve"> 1</w:t>
      </w:r>
      <w:r>
        <w:rPr>
          <w:rFonts w:ascii="Times New Roman" w:hAnsi="Times New Roman" w:cs="Times New Roman"/>
          <w:sz w:val="24"/>
          <w:szCs w:val="24"/>
        </w:rPr>
        <w:t xml:space="preserve"> + 0.</w:t>
      </w:r>
      <w:r w:rsidR="00D14446">
        <w:rPr>
          <w:rFonts w:ascii="Times New Roman" w:hAnsi="Times New Roman" w:cs="Times New Roman"/>
          <w:sz w:val="24"/>
          <w:szCs w:val="24"/>
        </w:rPr>
        <w:t>0</w:t>
      </w:r>
      <w:r>
        <w:rPr>
          <w:rFonts w:ascii="Times New Roman" w:hAnsi="Times New Roman" w:cs="Times New Roman"/>
          <w:sz w:val="24"/>
          <w:szCs w:val="24"/>
        </w:rPr>
        <w:t>0001)</w:t>
      </w:r>
      <w:r w:rsidRPr="003233D6">
        <w:rPr>
          <w:rFonts w:ascii="Times New Roman" w:hAnsi="Times New Roman" w:cs="Times New Roman"/>
          <w:sz w:val="24"/>
          <w:szCs w:val="24"/>
        </w:rPr>
        <w:t xml:space="preserve"> </w:t>
      </w:r>
      <w:r>
        <w:rPr>
          <w:rFonts w:ascii="Times New Roman" w:hAnsi="Times New Roman" w:cs="Times New Roman"/>
          <w:sz w:val="24"/>
          <w:szCs w:val="24"/>
        </w:rPr>
        <w:t>= 0.0001/0.2001 = 0.0</w:t>
      </w:r>
      <w:r w:rsidR="00D14446">
        <w:rPr>
          <w:rFonts w:ascii="Times New Roman" w:hAnsi="Times New Roman" w:cs="Times New Roman"/>
          <w:sz w:val="24"/>
          <w:szCs w:val="24"/>
        </w:rPr>
        <w:t>0</w:t>
      </w:r>
      <w:r>
        <w:rPr>
          <w:rFonts w:ascii="Times New Roman" w:hAnsi="Times New Roman" w:cs="Times New Roman"/>
          <w:sz w:val="24"/>
          <w:szCs w:val="24"/>
        </w:rPr>
        <w:t>005</w:t>
      </w:r>
    </w:p>
    <w:p w14:paraId="01E14A48" w14:textId="77777777" w:rsidR="00AC05CC" w:rsidRPr="00C716BC" w:rsidRDefault="00AC05CC" w:rsidP="00046CBE">
      <w:pPr>
        <w:spacing w:after="0" w:line="240" w:lineRule="auto"/>
        <w:jc w:val="both"/>
        <w:rPr>
          <w:rFonts w:ascii="Times New Roman" w:hAnsi="Times New Roman" w:cs="Times New Roman"/>
        </w:rPr>
      </w:pPr>
    </w:p>
    <w:sectPr w:rsidR="00AC05CC" w:rsidRPr="00C716B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3CAF8" w14:textId="77777777" w:rsidR="00A41018" w:rsidRDefault="00A41018" w:rsidP="00C716BC">
      <w:pPr>
        <w:spacing w:after="0" w:line="240" w:lineRule="auto"/>
      </w:pPr>
      <w:r>
        <w:separator/>
      </w:r>
    </w:p>
  </w:endnote>
  <w:endnote w:type="continuationSeparator" w:id="0">
    <w:p w14:paraId="5E55C77C" w14:textId="77777777" w:rsidR="00A41018" w:rsidRDefault="00A41018" w:rsidP="00C71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SymbolMT">
    <w:altName w:val="Malgun Gothic Semilight"/>
    <w:panose1 w:val="00000000000000000000"/>
    <w:charset w:val="88"/>
    <w:family w:val="swiss"/>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9763826"/>
      <w:docPartObj>
        <w:docPartGallery w:val="Page Numbers (Bottom of Page)"/>
        <w:docPartUnique/>
      </w:docPartObj>
    </w:sdtPr>
    <w:sdtEndPr>
      <w:rPr>
        <w:rFonts w:ascii="Times New Roman" w:hAnsi="Times New Roman" w:cs="Times New Roman"/>
        <w:noProof/>
        <w:sz w:val="24"/>
        <w:szCs w:val="24"/>
      </w:rPr>
    </w:sdtEndPr>
    <w:sdtContent>
      <w:p w14:paraId="40FF080D" w14:textId="1C10DA21" w:rsidR="006F1644" w:rsidRPr="004305C4" w:rsidRDefault="006F1644">
        <w:pPr>
          <w:pStyle w:val="Footer"/>
          <w:jc w:val="center"/>
          <w:rPr>
            <w:rFonts w:ascii="Times New Roman" w:hAnsi="Times New Roman" w:cs="Times New Roman"/>
            <w:sz w:val="24"/>
            <w:szCs w:val="24"/>
          </w:rPr>
        </w:pPr>
        <w:r w:rsidRPr="004305C4">
          <w:rPr>
            <w:rFonts w:ascii="Times New Roman" w:hAnsi="Times New Roman" w:cs="Times New Roman"/>
            <w:sz w:val="24"/>
            <w:szCs w:val="24"/>
          </w:rPr>
          <w:fldChar w:fldCharType="begin"/>
        </w:r>
        <w:r w:rsidRPr="004305C4">
          <w:rPr>
            <w:rFonts w:ascii="Times New Roman" w:hAnsi="Times New Roman" w:cs="Times New Roman"/>
            <w:sz w:val="24"/>
            <w:szCs w:val="24"/>
          </w:rPr>
          <w:instrText xml:space="preserve"> PAGE   \* MERGEFORMAT </w:instrText>
        </w:r>
        <w:r w:rsidRPr="004305C4">
          <w:rPr>
            <w:rFonts w:ascii="Times New Roman" w:hAnsi="Times New Roman" w:cs="Times New Roman"/>
            <w:sz w:val="24"/>
            <w:szCs w:val="24"/>
          </w:rPr>
          <w:fldChar w:fldCharType="separate"/>
        </w:r>
        <w:r w:rsidR="000D44D5">
          <w:rPr>
            <w:rFonts w:ascii="Times New Roman" w:hAnsi="Times New Roman" w:cs="Times New Roman"/>
            <w:noProof/>
            <w:sz w:val="24"/>
            <w:szCs w:val="24"/>
          </w:rPr>
          <w:t>1</w:t>
        </w:r>
        <w:r w:rsidRPr="004305C4">
          <w:rPr>
            <w:rFonts w:ascii="Times New Roman" w:hAnsi="Times New Roman" w:cs="Times New Roman"/>
            <w:noProof/>
            <w:sz w:val="24"/>
            <w:szCs w:val="24"/>
          </w:rPr>
          <w:fldChar w:fldCharType="end"/>
        </w:r>
      </w:p>
    </w:sdtContent>
  </w:sdt>
  <w:p w14:paraId="2B58CF73" w14:textId="77777777" w:rsidR="006F1644" w:rsidRDefault="006F1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934A3" w14:textId="77777777" w:rsidR="00A41018" w:rsidRDefault="00A41018" w:rsidP="00C716BC">
      <w:pPr>
        <w:spacing w:after="0" w:line="240" w:lineRule="auto"/>
      </w:pPr>
      <w:r>
        <w:separator/>
      </w:r>
    </w:p>
  </w:footnote>
  <w:footnote w:type="continuationSeparator" w:id="0">
    <w:p w14:paraId="25816ECE" w14:textId="77777777" w:rsidR="00A41018" w:rsidRDefault="00A41018" w:rsidP="00C716BC">
      <w:pPr>
        <w:spacing w:after="0" w:line="240" w:lineRule="auto"/>
      </w:pPr>
      <w:r>
        <w:continuationSeparator/>
      </w:r>
    </w:p>
  </w:footnote>
  <w:footnote w:id="1">
    <w:p w14:paraId="562591ED" w14:textId="77777777" w:rsidR="006F1644" w:rsidRPr="00F57794" w:rsidRDefault="006F1644" w:rsidP="00EA239F">
      <w:pPr>
        <w:pStyle w:val="FootnoteText"/>
        <w:contextualSpacing/>
      </w:pPr>
      <w:r w:rsidRPr="00F57794">
        <w:rPr>
          <w:rStyle w:val="FootnoteReference"/>
        </w:rPr>
        <w:t>*</w:t>
      </w:r>
      <w:r w:rsidRPr="00F57794">
        <w:t xml:space="preserve"> Arthur Levitt Professor of Law, Columbia Law School.</w:t>
      </w:r>
    </w:p>
  </w:footnote>
  <w:footnote w:id="2">
    <w:p w14:paraId="7A5C0DC8" w14:textId="20EC7F30" w:rsidR="006F1644" w:rsidRPr="00EF146D" w:rsidRDefault="006F1644" w:rsidP="00EA239F">
      <w:pPr>
        <w:pStyle w:val="FootnoteText"/>
      </w:pPr>
      <w:r w:rsidRPr="00F57794">
        <w:rPr>
          <w:rStyle w:val="FootnoteReference"/>
        </w:rPr>
        <w:t>**</w:t>
      </w:r>
      <w:r w:rsidRPr="00F57794">
        <w:t xml:space="preserve"> Professor of Law, UC Davis School of Law. </w:t>
      </w:r>
      <w:r>
        <w:t xml:space="preserve">We thank Zohar Goshen, Dorothy Lund, Josh Mitts, and Alex Raskolnikov, as well as participants at Columbia Law School’s 10-10 Faculty Workshop and the 2024 National Business Law Scholars Conference, for helpful suggestions. </w:t>
      </w:r>
      <w:r w:rsidR="00E41C9D">
        <w:t xml:space="preserve"> </w:t>
      </w:r>
    </w:p>
  </w:footnote>
  <w:footnote w:id="3">
    <w:p w14:paraId="318AE3EC" w14:textId="6A407804" w:rsidR="006F1644" w:rsidRDefault="006F1644">
      <w:pPr>
        <w:pStyle w:val="FootnoteText"/>
      </w:pPr>
      <w:r>
        <w:rPr>
          <w:rStyle w:val="FootnoteReference"/>
        </w:rPr>
        <w:footnoteRef/>
      </w:r>
      <w:r>
        <w:t xml:space="preserve"> </w:t>
      </w:r>
      <w:r w:rsidRPr="002135C6">
        <w:rPr>
          <w:i/>
          <w:iCs/>
        </w:rPr>
        <w:t>See, e.g.</w:t>
      </w:r>
      <w:r>
        <w:t xml:space="preserve">, Zohar Goshen &amp; Richard Squire, </w:t>
      </w:r>
      <w:r w:rsidRPr="002135C6">
        <w:rPr>
          <w:i/>
          <w:iCs/>
        </w:rPr>
        <w:t>Principal Costs: A New Theory for Corporate Law and Governance</w:t>
      </w:r>
      <w:r>
        <w:t xml:space="preserve">, 117 </w:t>
      </w:r>
      <w:r w:rsidRPr="002135C6">
        <w:rPr>
          <w:smallCaps/>
        </w:rPr>
        <w:t>Colum. L. Rev.</w:t>
      </w:r>
      <w:r>
        <w:t xml:space="preserve"> 767, 769 (2017) (“For the last forty years, the problem of agency costs has dominated the study of corporate law and governance.”)</w:t>
      </w:r>
    </w:p>
  </w:footnote>
  <w:footnote w:id="4">
    <w:p w14:paraId="514BE1F0" w14:textId="36B2A9B2" w:rsidR="006F1644" w:rsidRDefault="006F1644" w:rsidP="00915618">
      <w:pPr>
        <w:pStyle w:val="FootnoteText"/>
        <w:jc w:val="both"/>
      </w:pPr>
      <w:r>
        <w:rPr>
          <w:rStyle w:val="FootnoteReference"/>
        </w:rPr>
        <w:footnoteRef/>
      </w:r>
      <w:r>
        <w:t xml:space="preserve"> As but one example, consider the model developed in the seminal 1976 article by Jensen and Meckling, in which all of a firm’s non-managerial shareholders are assumed to derive utility from their equity interest solely through their investment’s effect on their wealth or cash flow. </w:t>
      </w:r>
      <w:r w:rsidRPr="00DF3635">
        <w:rPr>
          <w:i/>
          <w:iCs/>
        </w:rPr>
        <w:t>See</w:t>
      </w:r>
      <w:r>
        <w:t xml:space="preserve"> Michael C. Jensen &amp; William H. Meckling, </w:t>
      </w:r>
      <w:r w:rsidRPr="00DF3635">
        <w:rPr>
          <w:i/>
          <w:iCs/>
        </w:rPr>
        <w:t>Theory of the Firm: Managerial Behavior, Agency Costs and Ownership Structure</w:t>
      </w:r>
      <w:r>
        <w:t xml:space="preserve">, 3 </w:t>
      </w:r>
      <w:r w:rsidRPr="008C0BB1">
        <w:rPr>
          <w:smallCaps/>
        </w:rPr>
        <w:t xml:space="preserve">J. Fin. Econ. </w:t>
      </w:r>
      <w:r>
        <w:t>305, 314 (1976) (assumption P.5). P</w:t>
      </w:r>
      <w:r w:rsidRPr="00263B0F">
        <w:t>rofit maximization is the standard economic assumption of firm behavior across all market structures</w:t>
      </w:r>
      <w:r>
        <w:t xml:space="preserve">. </w:t>
      </w:r>
      <w:r w:rsidRPr="00263B0F">
        <w:rPr>
          <w:i/>
          <w:iCs/>
        </w:rPr>
        <w:t>See</w:t>
      </w:r>
      <w:r>
        <w:rPr>
          <w:i/>
          <w:iCs/>
        </w:rPr>
        <w:t xml:space="preserve"> </w:t>
      </w:r>
      <w:r w:rsidRPr="00BE14F1">
        <w:rPr>
          <w:smallCaps/>
        </w:rPr>
        <w:t>Andreu Mas-Colell, Michael D. Whinston &amp; Jerry R. Green</w:t>
      </w:r>
      <w:r w:rsidRPr="00263B0F">
        <w:t xml:space="preserve">, </w:t>
      </w:r>
      <w:r w:rsidRPr="00263B0F">
        <w:rPr>
          <w:smallCaps/>
        </w:rPr>
        <w:t>Microeconomic Theory</w:t>
      </w:r>
      <w:r w:rsidRPr="00263B0F">
        <w:t xml:space="preserve"> 317 (perfectly competitive</w:t>
      </w:r>
      <w:r>
        <w:t xml:space="preserve"> firms maximize profits), </w:t>
      </w:r>
      <w:r w:rsidRPr="00263B0F">
        <w:t>384 (monopolist</w:t>
      </w:r>
      <w:r>
        <w:t>s</w:t>
      </w:r>
      <w:r w:rsidRPr="00263B0F">
        <w:t xml:space="preserve"> maximize profit)</w:t>
      </w:r>
      <w:r>
        <w:t xml:space="preserve">, </w:t>
      </w:r>
      <w:r w:rsidRPr="00263B0F">
        <w:t>387-400</w:t>
      </w:r>
      <w:r>
        <w:t xml:space="preserve"> (oligopolists maximize profits) (1995). </w:t>
      </w:r>
    </w:p>
  </w:footnote>
  <w:footnote w:id="5">
    <w:p w14:paraId="15D4FA4C" w14:textId="77777777" w:rsidR="006F1644" w:rsidRDefault="006F1644" w:rsidP="009924B3">
      <w:pPr>
        <w:pStyle w:val="FootnoteText"/>
        <w:jc w:val="both"/>
        <w:rPr>
          <w:rFonts w:cs="Times New Roman"/>
          <w:bCs/>
        </w:rPr>
      </w:pPr>
      <w:r>
        <w:rPr>
          <w:rStyle w:val="FootnoteReference"/>
        </w:rPr>
        <w:footnoteRef/>
      </w:r>
      <w:r>
        <w:t xml:space="preserve"> </w:t>
      </w:r>
      <w:r w:rsidRPr="005E3083">
        <w:rPr>
          <w:rFonts w:cs="Times New Roman"/>
        </w:rPr>
        <w:t xml:space="preserve">This type of corporation has stock traded on an exchange and there is no </w:t>
      </w:r>
      <w:r>
        <w:rPr>
          <w:rFonts w:cs="Times New Roman"/>
        </w:rPr>
        <w:t xml:space="preserve">single shareholder </w:t>
      </w:r>
      <w:r w:rsidRPr="005E3083">
        <w:rPr>
          <w:rFonts w:cs="Times New Roman"/>
        </w:rPr>
        <w:t xml:space="preserve">or </w:t>
      </w:r>
      <w:r>
        <w:rPr>
          <w:rFonts w:cs="Times New Roman"/>
        </w:rPr>
        <w:t xml:space="preserve">organized </w:t>
      </w:r>
      <w:r w:rsidRPr="005E3083">
        <w:rPr>
          <w:rFonts w:cs="Times New Roman"/>
        </w:rPr>
        <w:t xml:space="preserve">group </w:t>
      </w:r>
      <w:r>
        <w:rPr>
          <w:rFonts w:cs="Times New Roman"/>
        </w:rPr>
        <w:t xml:space="preserve">of shareholders </w:t>
      </w:r>
      <w:r w:rsidRPr="005E3083">
        <w:rPr>
          <w:rFonts w:cs="Times New Roman"/>
        </w:rPr>
        <w:t>maintains control over its decisions. Such firms constitute 96.4%</w:t>
      </w:r>
      <w:r w:rsidRPr="005E3083">
        <w:rPr>
          <w:rFonts w:cs="Times New Roman"/>
          <w:bCs/>
          <w:color w:val="000000"/>
          <w:shd w:val="clear" w:color="auto" w:fill="FFFFFF"/>
        </w:rPr>
        <w:t xml:space="preserve"> percent of the S&amp;P 500 publicly traded firms and 91.6% percent of the entire Russell 3000 such firms. </w:t>
      </w:r>
      <w:r w:rsidRPr="005E3083">
        <w:rPr>
          <w:rFonts w:cs="Times New Roman"/>
          <w:bCs/>
          <w:i/>
          <w:iCs/>
          <w:color w:val="000000"/>
          <w:shd w:val="clear" w:color="auto" w:fill="FFFFFF"/>
        </w:rPr>
        <w:t>See</w:t>
      </w:r>
      <w:r w:rsidRPr="005E3083">
        <w:rPr>
          <w:rFonts w:cs="Times New Roman"/>
          <w:bCs/>
          <w:color w:val="000000"/>
          <w:shd w:val="clear" w:color="auto" w:fill="FFFFFF"/>
        </w:rPr>
        <w:t xml:space="preserve"> </w:t>
      </w:r>
      <w:r w:rsidRPr="005E3083">
        <w:rPr>
          <w:rFonts w:cs="Times New Roman"/>
        </w:rPr>
        <w:t xml:space="preserve">Kosmas Papadopoulos, “CEO Ownership, Corporate Governance, and Company Performance” by (Harvard Law School Forum on Corporate Governance, 2019, </w:t>
      </w:r>
      <w:r w:rsidRPr="00F5147C">
        <w:rPr>
          <w:rFonts w:cs="Times New Roman"/>
        </w:rPr>
        <w:t>https://corpgov.law.harvard.edu/2019/05/13/ceo-ownership-corporate-governance-and-company-performance/</w:t>
      </w:r>
      <w:r w:rsidRPr="005E3083">
        <w:rPr>
          <w:rFonts w:cs="Times New Roman"/>
        </w:rPr>
        <w:t>)</w:t>
      </w:r>
      <w:r>
        <w:rPr>
          <w:rFonts w:cs="Times New Roman"/>
        </w:rPr>
        <w:t xml:space="preserve">. </w:t>
      </w:r>
      <w:r w:rsidRPr="005E3083">
        <w:rPr>
          <w:rFonts w:cs="Times New Roman"/>
        </w:rPr>
        <w:t xml:space="preserve">As of 2015, this corporate type represented 90.12% of total capitalization of S&amp;P 1500 companies. </w:t>
      </w:r>
      <w:r w:rsidRPr="005E3083">
        <w:rPr>
          <w:rFonts w:cs="Times New Roman"/>
          <w:i/>
          <w:iCs/>
        </w:rPr>
        <w:t>See</w:t>
      </w:r>
      <w:r w:rsidRPr="005E3083">
        <w:rPr>
          <w:rFonts w:cs="Times New Roman"/>
        </w:rPr>
        <w:t xml:space="preserve"> Edward Kamonjoh, “Controlled Companies in the Standard &amp; Poor’s 1500” by (IRRC Institute, 2016, </w:t>
      </w:r>
      <w:r w:rsidRPr="00F5147C">
        <w:rPr>
          <w:rFonts w:cs="Times New Roman"/>
        </w:rPr>
        <w:t>https://bpb-us-w2.wpmucdn.com/sites.udel.edu/dist/8/12944/files/2022/08/Controlled-Companies-IRRCI-2015-FINAL-3-16-16.pdf</w:t>
      </w:r>
      <w:r w:rsidRPr="005E3083">
        <w:rPr>
          <w:rFonts w:cs="Times New Roman"/>
        </w:rPr>
        <w:t>)</w:t>
      </w:r>
      <w:r>
        <w:rPr>
          <w:rFonts w:cs="Times New Roman"/>
        </w:rPr>
        <w:t xml:space="preserve">. Although privately held firms, most prominently the so-called “unicorns,” have increased in importance and gathered much attention, a recent article by Mark Roe and C.Y. Wang emphasize publicly-traded corporations’ central role in the economy, noting that they employ almost 30% of the total workforce, have increased their level of investment as a percentage of GDP over the last 30 years, and have a total capitalization that has grown over this period of time from about 50% of GDP to 100% of GDP. Mark Roe &amp; C.Y. Wang, </w:t>
      </w:r>
      <w:r>
        <w:rPr>
          <w:rFonts w:cs="Times New Roman"/>
          <w:i/>
          <w:iCs/>
        </w:rPr>
        <w:t xml:space="preserve">Half the Firms, Double the Profits: Public Firms’ Transformation, 1996-2022, J Law Fin. &amp; Acct (forthcoming), available at </w:t>
      </w:r>
      <w:r w:rsidRPr="00831EB9">
        <w:rPr>
          <w:rFonts w:cs="Times New Roman"/>
          <w:i/>
          <w:iCs/>
        </w:rPr>
        <w:t>https://papers.ssrn.com/sol3/papers.cfm?abstract_id=4372070</w:t>
      </w:r>
      <w:r>
        <w:rPr>
          <w:rFonts w:cs="Times New Roman"/>
          <w:bCs/>
        </w:rPr>
        <w:t xml:space="preserve">. </w:t>
      </w:r>
    </w:p>
    <w:p w14:paraId="2692F36D" w14:textId="7887FB2D" w:rsidR="006F1644" w:rsidRPr="00876140" w:rsidRDefault="006F1644" w:rsidP="009924B3">
      <w:pPr>
        <w:pStyle w:val="FootnoteText"/>
        <w:jc w:val="both"/>
        <w:rPr>
          <w:rFonts w:cs="Times New Roman"/>
        </w:rPr>
      </w:pPr>
      <w:r>
        <w:rPr>
          <w:rFonts w:cs="Times New Roman"/>
        </w:rPr>
        <w:tab/>
        <w:t>The fact that the typical public firm does not have a</w:t>
      </w:r>
      <w:r w:rsidRPr="005E3083">
        <w:rPr>
          <w:rFonts w:cs="Times New Roman"/>
        </w:rPr>
        <w:t xml:space="preserve"> </w:t>
      </w:r>
      <w:r>
        <w:rPr>
          <w:rFonts w:cs="Times New Roman"/>
        </w:rPr>
        <w:t xml:space="preserve">single shareholder </w:t>
      </w:r>
      <w:r w:rsidRPr="005E3083">
        <w:rPr>
          <w:rFonts w:cs="Times New Roman"/>
        </w:rPr>
        <w:t xml:space="preserve">or </w:t>
      </w:r>
      <w:r>
        <w:rPr>
          <w:rFonts w:cs="Times New Roman"/>
        </w:rPr>
        <w:t xml:space="preserve">organized </w:t>
      </w:r>
      <w:r w:rsidRPr="005E3083">
        <w:rPr>
          <w:rFonts w:cs="Times New Roman"/>
        </w:rPr>
        <w:t xml:space="preserve">group </w:t>
      </w:r>
      <w:r>
        <w:rPr>
          <w:rFonts w:cs="Times New Roman"/>
        </w:rPr>
        <w:t xml:space="preserve">of shareholders </w:t>
      </w:r>
      <w:r w:rsidRPr="005E3083">
        <w:rPr>
          <w:rFonts w:cs="Times New Roman"/>
        </w:rPr>
        <w:t>maintain</w:t>
      </w:r>
      <w:r>
        <w:rPr>
          <w:rFonts w:cs="Times New Roman"/>
        </w:rPr>
        <w:t xml:space="preserve">ing </w:t>
      </w:r>
      <w:r w:rsidRPr="005E3083">
        <w:rPr>
          <w:rFonts w:cs="Times New Roman"/>
        </w:rPr>
        <w:t xml:space="preserve">control </w:t>
      </w:r>
      <w:r>
        <w:rPr>
          <w:rFonts w:cs="Times New Roman"/>
        </w:rPr>
        <w:t xml:space="preserve">of its </w:t>
      </w:r>
      <w:r w:rsidRPr="005E3083">
        <w:rPr>
          <w:rFonts w:cs="Times New Roman"/>
        </w:rPr>
        <w:t>decisions</w:t>
      </w:r>
      <w:r>
        <w:rPr>
          <w:rFonts w:cs="Times New Roman"/>
        </w:rPr>
        <w:t xml:space="preserve"> does not mean that it does not necessarily have a relatively small number of holders each possessing a smaller concentration of corporations shares who, though they are independent of each other and do not coordinate on a regular basis, can, when it comes to how to vote their shares in any given instance, would have no difficulty in communicating and negotiating with each other and with the corporation’s management,  , something that is in fact quite common</w:t>
      </w:r>
      <w:r w:rsidR="00B25141">
        <w:rPr>
          <w:rFonts w:cs="Times New Roman"/>
        </w:rPr>
        <w:t xml:space="preserve">. </w:t>
      </w:r>
      <w:r w:rsidRPr="000B1548">
        <w:rPr>
          <w:i/>
          <w:iCs/>
        </w:rPr>
        <w:t>See</w:t>
      </w:r>
      <w:r>
        <w:t xml:space="preserve"> Clifford G. Holderness, </w:t>
      </w:r>
      <w:r>
        <w:rPr>
          <w:i/>
          <w:iCs/>
        </w:rPr>
        <w:t>The Myth of Diffuse Ownership in the United States</w:t>
      </w:r>
      <w:r>
        <w:t xml:space="preserve">, 22 </w:t>
      </w:r>
      <w:r>
        <w:rPr>
          <w:smallCaps/>
        </w:rPr>
        <w:t xml:space="preserve">Rev. Fin. Studies </w:t>
      </w:r>
      <w:r>
        <w:t>1377 (2009).</w:t>
      </w:r>
      <w:r>
        <w:rPr>
          <w:rFonts w:cs="Times New Roman"/>
        </w:rPr>
        <w:t xml:space="preserve"> As discussed in Part II.D.2 </w:t>
      </w:r>
      <w:r>
        <w:rPr>
          <w:rFonts w:cs="Times New Roman"/>
          <w:i/>
        </w:rPr>
        <w:t>infra</w:t>
      </w:r>
      <w:r>
        <w:rPr>
          <w:rFonts w:cs="Times New Roman"/>
        </w:rPr>
        <w:t>, the existence of such holders is a factor that can very much be part of the firm’s managerial incentive structure.</w:t>
      </w:r>
    </w:p>
  </w:footnote>
  <w:footnote w:id="6">
    <w:p w14:paraId="6E9170D1" w14:textId="2F788FD1" w:rsidR="006F1644" w:rsidRDefault="006F1644" w:rsidP="009924B3">
      <w:pPr>
        <w:pStyle w:val="FootnoteText"/>
      </w:pPr>
      <w:r>
        <w:rPr>
          <w:rStyle w:val="FootnoteReference"/>
        </w:rPr>
        <w:footnoteRef/>
      </w:r>
      <w:r>
        <w:t xml:space="preserve"> We confine our focus to U.S. firms because c</w:t>
      </w:r>
      <w:r w:rsidRPr="007969CC">
        <w:rPr>
          <w:rFonts w:cs="Times New Roman"/>
        </w:rPr>
        <w:t>ontrol structures and other legal and institutional features abroad vary considerably from those in the United States</w:t>
      </w:r>
      <w:r>
        <w:rPr>
          <w:rFonts w:cs="Times New Roman"/>
        </w:rPr>
        <w:t xml:space="preserve">. We note, however, </w:t>
      </w:r>
      <w:r w:rsidRPr="007969CC">
        <w:rPr>
          <w:rFonts w:cs="Times New Roman"/>
        </w:rPr>
        <w:t>that publicly traded corporations with dispersed shareholdings</w:t>
      </w:r>
      <w:r>
        <w:rPr>
          <w:rFonts w:cs="Times New Roman"/>
        </w:rPr>
        <w:t>,</w:t>
      </w:r>
      <w:r w:rsidRPr="007969CC">
        <w:rPr>
          <w:rFonts w:cs="Times New Roman"/>
        </w:rPr>
        <w:t xml:space="preserve"> though less dominant than in the United States, are still important</w:t>
      </w:r>
      <w:r>
        <w:rPr>
          <w:rFonts w:cs="Times New Roman"/>
        </w:rPr>
        <w:t xml:space="preserve">. </w:t>
      </w:r>
      <w:r w:rsidRPr="006C3E1A">
        <w:rPr>
          <w:rFonts w:cs="Times New Roman"/>
          <w:i/>
          <w:iCs/>
        </w:rPr>
        <w:t>See</w:t>
      </w:r>
      <w:r>
        <w:rPr>
          <w:rFonts w:cs="Times New Roman"/>
        </w:rPr>
        <w:t xml:space="preserve"> </w:t>
      </w:r>
      <w:r w:rsidRPr="00722EC3">
        <w:rPr>
          <w:rFonts w:cs="Times New Roman"/>
        </w:rPr>
        <w:t>Gur Aminadav &amp; Elias Papaioannou,</w:t>
      </w:r>
      <w:r w:rsidRPr="00722EC3">
        <w:rPr>
          <w:rFonts w:cs="Times New Roman"/>
          <w:smallCaps/>
        </w:rPr>
        <w:t xml:space="preserve"> </w:t>
      </w:r>
      <w:r w:rsidRPr="00722EC3">
        <w:rPr>
          <w:rFonts w:cs="Times New Roman"/>
          <w:i/>
          <w:iCs/>
        </w:rPr>
        <w:t>Corporate Control around the World</w:t>
      </w:r>
      <w:r w:rsidRPr="00722EC3">
        <w:rPr>
          <w:rFonts w:cs="Times New Roman"/>
          <w:smallCaps/>
        </w:rPr>
        <w:t xml:space="preserve">, 75 </w:t>
      </w:r>
      <w:r>
        <w:rPr>
          <w:rFonts w:cs="Times New Roman"/>
          <w:smallCaps/>
        </w:rPr>
        <w:t>J</w:t>
      </w:r>
      <w:r w:rsidRPr="00722EC3">
        <w:rPr>
          <w:rFonts w:cs="Times New Roman"/>
          <w:smallCaps/>
        </w:rPr>
        <w:t>. Fin. 1191</w:t>
      </w:r>
      <w:r>
        <w:rPr>
          <w:rFonts w:cs="Times New Roman"/>
          <w:smallCaps/>
        </w:rPr>
        <w:t>, 1203</w:t>
      </w:r>
      <w:r w:rsidRPr="00722EC3">
        <w:rPr>
          <w:rFonts w:cs="Times New Roman"/>
          <w:smallCaps/>
        </w:rPr>
        <w:t xml:space="preserve"> (</w:t>
      </w:r>
      <w:r>
        <w:rPr>
          <w:rFonts w:cs="Times New Roman"/>
          <w:smallCaps/>
        </w:rPr>
        <w:t>2020) (</w:t>
      </w:r>
      <w:r>
        <w:rPr>
          <w:rFonts w:cs="Times New Roman"/>
        </w:rPr>
        <w:t xml:space="preserve">across the globe in 2012 43% of publicly traded firms weighted by market capitalization (including U.S. firms) were widely held in the sense that no single shareholder had holdings giving it more than 5% of the votes).  </w:t>
      </w:r>
    </w:p>
  </w:footnote>
  <w:footnote w:id="7">
    <w:p w14:paraId="3B7D4EC3" w14:textId="3715EAB2" w:rsidR="006F1644" w:rsidRPr="006A40F1" w:rsidRDefault="006F1644" w:rsidP="0055666C">
      <w:pPr>
        <w:pStyle w:val="FootnoteText"/>
        <w:jc w:val="both"/>
        <w:rPr>
          <w:rFonts w:cs="Times New Roman"/>
          <w:i/>
        </w:rPr>
      </w:pPr>
      <w:r w:rsidRPr="005E3083">
        <w:rPr>
          <w:rStyle w:val="FootnoteReference"/>
          <w:rFonts w:cs="Times New Roman"/>
        </w:rPr>
        <w:footnoteRef/>
      </w:r>
      <w:r w:rsidRPr="005E3083">
        <w:rPr>
          <w:rFonts w:cs="Times New Roman"/>
        </w:rPr>
        <w:t xml:space="preserve"> </w:t>
      </w:r>
      <w:r>
        <w:rPr>
          <w:rFonts w:cs="Times New Roman"/>
        </w:rPr>
        <w:t xml:space="preserve">Prominent scholars identified this blind spot more than twenty years ago. </w:t>
      </w:r>
      <w:r w:rsidRPr="00434FDA">
        <w:rPr>
          <w:rFonts w:cs="Times New Roman"/>
          <w:i/>
          <w:iCs/>
        </w:rPr>
        <w:t xml:space="preserve">See </w:t>
      </w:r>
      <w:r w:rsidRPr="005E3083">
        <w:rPr>
          <w:rFonts w:cs="Times New Roman"/>
          <w:smallCaps/>
        </w:rPr>
        <w:t>Henry Hansmann, The Ownership of Enterprise (2000) 40</w:t>
      </w:r>
      <w:r>
        <w:rPr>
          <w:rFonts w:cs="Times New Roman"/>
          <w:smallCaps/>
        </w:rPr>
        <w:t xml:space="preserve"> (“[U]</w:t>
      </w:r>
      <w:r w:rsidRPr="005E3083">
        <w:rPr>
          <w:rFonts w:cs="Times New Roman"/>
        </w:rPr>
        <w:t>nlike agency costs, the costs of collective decision making have been largely neglected in the literature on corporate control and the economics of organizational form</w:t>
      </w:r>
      <w:r>
        <w:rPr>
          <w:rFonts w:cs="Times New Roman"/>
        </w:rPr>
        <w:t>.”)</w:t>
      </w:r>
      <w:r>
        <w:rPr>
          <w:rFonts w:cs="Times New Roman"/>
          <w:smallCaps/>
        </w:rPr>
        <w:t xml:space="preserve">. </w:t>
      </w:r>
      <w:r>
        <w:t xml:space="preserve">Since that time, </w:t>
      </w:r>
      <w:r>
        <w:rPr>
          <w:rFonts w:cs="Times New Roman"/>
        </w:rPr>
        <w:t xml:space="preserve">some scholars have critiqued the corporate governance literature for failing to accurately describe the preferences of shareholders of dispersed publicly traded corporations, </w:t>
      </w:r>
      <w:r w:rsidRPr="001D1503">
        <w:rPr>
          <w:rFonts w:cs="Times New Roman"/>
          <w:i/>
          <w:iCs/>
        </w:rPr>
        <w:t>see, e.g.</w:t>
      </w:r>
      <w:r>
        <w:rPr>
          <w:rFonts w:cs="Times New Roman"/>
        </w:rPr>
        <w:t xml:space="preserve">, Daniel J.H. Greenwood, </w:t>
      </w:r>
      <w:r w:rsidRPr="001D1503">
        <w:rPr>
          <w:rFonts w:cs="Times New Roman"/>
          <w:i/>
          <w:iCs/>
        </w:rPr>
        <w:t xml:space="preserve">Fictional Shareholders: For Whom are </w:t>
      </w:r>
      <w:r w:rsidRPr="006C3E1A">
        <w:rPr>
          <w:rFonts w:cs="Times New Roman"/>
          <w:i/>
          <w:iCs/>
          <w:color w:val="000000" w:themeColor="text1"/>
        </w:rPr>
        <w:t>Corporate Managers Trustees, Revisited</w:t>
      </w:r>
      <w:r w:rsidRPr="006C3E1A">
        <w:rPr>
          <w:rFonts w:cs="Times New Roman"/>
          <w:color w:val="000000" w:themeColor="text1"/>
        </w:rPr>
        <w:t xml:space="preserve">, 69 </w:t>
      </w:r>
      <w:r w:rsidRPr="006C3E1A">
        <w:rPr>
          <w:rFonts w:cs="Times New Roman"/>
          <w:smallCaps/>
          <w:color w:val="000000" w:themeColor="text1"/>
        </w:rPr>
        <w:t>S. Cal. L. Rev.</w:t>
      </w:r>
      <w:r w:rsidRPr="006C3E1A">
        <w:rPr>
          <w:rFonts w:cs="Times New Roman"/>
          <w:color w:val="000000" w:themeColor="text1"/>
        </w:rPr>
        <w:t xml:space="preserve"> 1021 (1996), but they have not systematically explored whether and how shareholder preference heterogeneity can affect the behavior of those firms. In contrast to the literature on dispersed publicly traded corporations, with its assumption that all shareholders prefer the corporation to maximize share value, literatures relating to other types of corporations have more fully engaged the issue of heterogeneous shareholder preferences. For instance, analysis of intra-shareholder conflicts has been a dominant focus of the academic literature on closely-held corporations, </w:t>
      </w:r>
      <w:r w:rsidRPr="006C3E1A">
        <w:rPr>
          <w:rFonts w:cs="Times New Roman"/>
          <w:i/>
          <w:iCs/>
          <w:color w:val="000000" w:themeColor="text1"/>
        </w:rPr>
        <w:t>see, e.g.</w:t>
      </w:r>
      <w:r w:rsidRPr="006C3E1A">
        <w:rPr>
          <w:rFonts w:cs="Times New Roman"/>
          <w:color w:val="000000" w:themeColor="text1"/>
        </w:rPr>
        <w:t xml:space="preserve">, </w:t>
      </w:r>
      <w:r w:rsidRPr="006C3E1A">
        <w:rPr>
          <w:color w:val="000000" w:themeColor="text1"/>
        </w:rPr>
        <w:t xml:space="preserve">Margaret M. Blair &amp; Lynn A. Stout, </w:t>
      </w:r>
      <w:r w:rsidRPr="006C3E1A">
        <w:rPr>
          <w:i/>
          <w:iCs/>
          <w:color w:val="000000" w:themeColor="text1"/>
        </w:rPr>
        <w:t>Trust, Trustworthiness, and the Behavioral Foundations of Corporate Law</w:t>
      </w:r>
      <w:r w:rsidRPr="006C3E1A">
        <w:rPr>
          <w:color w:val="000000" w:themeColor="text1"/>
        </w:rPr>
        <w:t xml:space="preserve">, 149 </w:t>
      </w:r>
      <w:r w:rsidRPr="006C3E1A">
        <w:rPr>
          <w:smallCaps/>
          <w:color w:val="000000" w:themeColor="text1"/>
        </w:rPr>
        <w:t>U. Pa. L. Rev.</w:t>
      </w:r>
      <w:r w:rsidRPr="006C3E1A">
        <w:rPr>
          <w:color w:val="000000" w:themeColor="text1"/>
        </w:rPr>
        <w:t xml:space="preserve"> </w:t>
      </w:r>
      <w:r w:rsidR="00974DAB">
        <w:rPr>
          <w:color w:val="000000" w:themeColor="text1"/>
        </w:rPr>
        <w:t xml:space="preserve">1735 </w:t>
      </w:r>
      <w:r w:rsidRPr="006C3E1A">
        <w:rPr>
          <w:color w:val="000000" w:themeColor="text1"/>
        </w:rPr>
        <w:t xml:space="preserve">(2001), and also has received some attention in the literature on venture-backed startups. </w:t>
      </w:r>
      <w:r w:rsidRPr="006C3E1A">
        <w:rPr>
          <w:i/>
          <w:iCs/>
          <w:color w:val="000000" w:themeColor="text1"/>
        </w:rPr>
        <w:t>See, e.g.</w:t>
      </w:r>
      <w:r w:rsidRPr="006C3E1A">
        <w:rPr>
          <w:color w:val="000000" w:themeColor="text1"/>
        </w:rPr>
        <w:t xml:space="preserve">, Robert P. Bartlett, </w:t>
      </w:r>
      <w:r w:rsidRPr="006C3E1A">
        <w:rPr>
          <w:i/>
          <w:iCs/>
          <w:color w:val="000000" w:themeColor="text1"/>
        </w:rPr>
        <w:t>Venture Capital, Agency Costs, and the False Dichotomy of the Corporation</w:t>
      </w:r>
      <w:r w:rsidRPr="006C3E1A">
        <w:rPr>
          <w:color w:val="000000" w:themeColor="text1"/>
        </w:rPr>
        <w:t xml:space="preserve">, 54 </w:t>
      </w:r>
      <w:r w:rsidRPr="006C3E1A">
        <w:rPr>
          <w:smallCaps/>
          <w:color w:val="000000" w:themeColor="text1"/>
        </w:rPr>
        <w:t>UCLA L. Rev.</w:t>
      </w:r>
      <w:r w:rsidRPr="006C3E1A">
        <w:rPr>
          <w:color w:val="000000" w:themeColor="text1"/>
        </w:rPr>
        <w:t xml:space="preserve"> 37 (2006); </w:t>
      </w:r>
      <w:r w:rsidRPr="006C3E1A">
        <w:rPr>
          <w:iCs/>
          <w:color w:val="000000" w:themeColor="text1"/>
        </w:rPr>
        <w:t>Elizabeth Pollman</w:t>
      </w:r>
      <w:r w:rsidRPr="006C3E1A">
        <w:rPr>
          <w:i/>
          <w:iCs/>
          <w:color w:val="000000" w:themeColor="text1"/>
        </w:rPr>
        <w:t>, Startup Governance</w:t>
      </w:r>
      <w:r w:rsidRPr="006C3E1A">
        <w:rPr>
          <w:color w:val="000000" w:themeColor="text1"/>
        </w:rPr>
        <w:t xml:space="preserve">, 168 U. </w:t>
      </w:r>
      <w:r w:rsidRPr="006C3E1A">
        <w:rPr>
          <w:smallCaps/>
          <w:color w:val="000000" w:themeColor="text1"/>
        </w:rPr>
        <w:t>Pa. L. Rev</w:t>
      </w:r>
      <w:r w:rsidRPr="006C3E1A">
        <w:rPr>
          <w:color w:val="000000" w:themeColor="text1"/>
        </w:rPr>
        <w:t>. 155 (2019)</w:t>
      </w:r>
      <w:r w:rsidRPr="006C3E1A">
        <w:rPr>
          <w:rFonts w:ascii="Arial" w:hAnsi="Arial" w:cs="Arial"/>
          <w:i/>
          <w:color w:val="000000" w:themeColor="text1"/>
          <w:sz w:val="21"/>
          <w:szCs w:val="21"/>
          <w:shd w:val="clear" w:color="auto" w:fill="FFFFFF"/>
        </w:rPr>
        <w:t xml:space="preserve">. </w:t>
      </w:r>
      <w:r w:rsidRPr="006C3E1A">
        <w:rPr>
          <w:rFonts w:cs="Times New Roman"/>
          <w:i/>
          <w:color w:val="000000" w:themeColor="text1"/>
          <w:shd w:val="clear" w:color="auto" w:fill="FFFFFF"/>
        </w:rPr>
        <w:t>See also</w:t>
      </w:r>
      <w:r w:rsidRPr="006C3E1A">
        <w:rPr>
          <w:color w:val="000000" w:themeColor="text1"/>
        </w:rPr>
        <w:t xml:space="preserve"> Simone M. Sepe, </w:t>
      </w:r>
      <w:r w:rsidRPr="006C3E1A">
        <w:rPr>
          <w:i/>
          <w:iCs/>
          <w:color w:val="000000" w:themeColor="text1"/>
        </w:rPr>
        <w:t>Corporate Agency Problems and Dequity Contracts</w:t>
      </w:r>
      <w:r w:rsidRPr="006C3E1A">
        <w:rPr>
          <w:color w:val="000000" w:themeColor="text1"/>
        </w:rPr>
        <w:t xml:space="preserve">, 36 </w:t>
      </w:r>
      <w:r w:rsidRPr="006C3E1A">
        <w:rPr>
          <w:smallCaps/>
          <w:color w:val="000000" w:themeColor="text1"/>
        </w:rPr>
        <w:t>J. Corp. L</w:t>
      </w:r>
      <w:r w:rsidRPr="006C3E1A">
        <w:rPr>
          <w:color w:val="000000" w:themeColor="text1"/>
        </w:rPr>
        <w:t xml:space="preserve">. 113 (2010) (analyzing inter-investor conflicts and agency issues in a corporation with diverse investor types); Robert P. Bartlett, </w:t>
      </w:r>
      <w:r w:rsidRPr="006C3E1A">
        <w:rPr>
          <w:i/>
          <w:iCs/>
          <w:color w:val="000000" w:themeColor="text1"/>
        </w:rPr>
        <w:t>Venture Capital, Agency Costs, and the False Dichotomy of the Corporation</w:t>
      </w:r>
      <w:r w:rsidRPr="006C3E1A">
        <w:rPr>
          <w:color w:val="000000" w:themeColor="text1"/>
        </w:rPr>
        <w:t xml:space="preserve">, 54 </w:t>
      </w:r>
      <w:r w:rsidRPr="006C3E1A">
        <w:rPr>
          <w:smallCaps/>
          <w:color w:val="000000" w:themeColor="text1"/>
        </w:rPr>
        <w:t>UCLA L. Rev.</w:t>
      </w:r>
      <w:r w:rsidRPr="006C3E1A">
        <w:rPr>
          <w:color w:val="000000" w:themeColor="text1"/>
        </w:rPr>
        <w:t xml:space="preserve"> 37 (2006) (analyzing the implications of divergent investor preferences in venture capital funded start-ups); Ronald J. Gilson &amp; Jeffrey N. Gordon, </w:t>
      </w:r>
      <w:r w:rsidRPr="006C3E1A">
        <w:rPr>
          <w:i/>
          <w:iCs/>
          <w:color w:val="000000" w:themeColor="text1"/>
        </w:rPr>
        <w:t>Doctrines and Markets: Controlling Controlling Shareholders</w:t>
      </w:r>
      <w:r w:rsidRPr="006C3E1A">
        <w:rPr>
          <w:color w:val="000000" w:themeColor="text1"/>
        </w:rPr>
        <w:t xml:space="preserve">, 152 </w:t>
      </w:r>
      <w:r w:rsidRPr="006C3E1A">
        <w:rPr>
          <w:smallCaps/>
          <w:color w:val="000000" w:themeColor="text1"/>
        </w:rPr>
        <w:t>U. Pa. L. Rev.</w:t>
      </w:r>
      <w:r w:rsidRPr="006C3E1A">
        <w:rPr>
          <w:color w:val="000000" w:themeColor="text1"/>
        </w:rPr>
        <w:t xml:space="preserve"> 785 (2003) (analyzing the means by which controlling shareholders can extract private-control benefits at the expense of minority shareholders and discussing associated legal doctrine). </w:t>
      </w:r>
    </w:p>
  </w:footnote>
  <w:footnote w:id="8">
    <w:p w14:paraId="483EE7E6" w14:textId="77777777" w:rsidR="006F1644" w:rsidRPr="005E3083" w:rsidRDefault="006F1644" w:rsidP="006C5A06">
      <w:pPr>
        <w:pStyle w:val="FootnoteText"/>
        <w:jc w:val="both"/>
        <w:rPr>
          <w:rFonts w:cs="Times New Roman"/>
        </w:rPr>
      </w:pPr>
      <w:r w:rsidRPr="005E3083">
        <w:rPr>
          <w:rStyle w:val="FootnoteReference"/>
          <w:rFonts w:cs="Times New Roman"/>
        </w:rPr>
        <w:footnoteRef/>
      </w:r>
      <w:r w:rsidRPr="005E3083">
        <w:rPr>
          <w:rFonts w:cs="Times New Roman"/>
        </w:rPr>
        <w:t xml:space="preserve"> We recognize, of course, part of what makes the study of corporate governance complicated is that, although this ultimate residual claimant chooses the fund in which she invests and can freely exit, in many cases</w:t>
      </w:r>
      <w:r>
        <w:rPr>
          <w:rFonts w:cs="Times New Roman"/>
        </w:rPr>
        <w:t>, despite the pass through voting schemes that some funds now offer some investors,</w:t>
      </w:r>
      <w:r w:rsidRPr="005E3083">
        <w:rPr>
          <w:rFonts w:cs="Times New Roman"/>
        </w:rPr>
        <w:t xml:space="preserve"> she does not directly determine how her pro-rata interest is voted or, with a managed fund, even in which firms she will hold an interest.</w:t>
      </w:r>
    </w:p>
  </w:footnote>
  <w:footnote w:id="9">
    <w:p w14:paraId="68D2F7E7" w14:textId="77777777" w:rsidR="006F1644" w:rsidRDefault="006F1644">
      <w:pPr>
        <w:pStyle w:val="FootnoteText"/>
      </w:pPr>
      <w:r>
        <w:rPr>
          <w:rStyle w:val="FootnoteReference"/>
        </w:rPr>
        <w:footnoteRef/>
      </w:r>
      <w:r>
        <w:t xml:space="preserve"> </w:t>
      </w:r>
      <w:r w:rsidRPr="00263B0F">
        <w:t>Matthew Backus, Christopher Conlon</w:t>
      </w:r>
      <w:r>
        <w:t xml:space="preserve"> &amp;</w:t>
      </w:r>
      <w:r w:rsidRPr="00263B0F">
        <w:t xml:space="preserve"> Michael Sinkinson, </w:t>
      </w:r>
      <w:r w:rsidRPr="00263B0F">
        <w:rPr>
          <w:i/>
          <w:iCs/>
        </w:rPr>
        <w:t>Common Ownership in America: 1980-2017</w:t>
      </w:r>
      <w:r w:rsidRPr="00263B0F">
        <w:t xml:space="preserve">, </w:t>
      </w:r>
      <w:r>
        <w:t xml:space="preserve">13 </w:t>
      </w:r>
      <w:r w:rsidRPr="00F80554">
        <w:rPr>
          <w:smallCaps/>
        </w:rPr>
        <w:t>Am. Econ. J.: Microeconomics</w:t>
      </w:r>
      <w:r>
        <w:t xml:space="preserve"> 273, 285 (2021).</w:t>
      </w:r>
    </w:p>
  </w:footnote>
  <w:footnote w:id="10">
    <w:p w14:paraId="56FD57DF" w14:textId="10F2319B" w:rsidR="006F1644" w:rsidRDefault="006F1644">
      <w:pPr>
        <w:pStyle w:val="FootnoteText"/>
      </w:pPr>
      <w:r>
        <w:rPr>
          <w:rStyle w:val="FootnoteReference"/>
        </w:rPr>
        <w:footnoteRef/>
      </w:r>
      <w:r>
        <w:t xml:space="preserve"> </w:t>
      </w:r>
      <w:r w:rsidRPr="00263B0F">
        <w:t xml:space="preserve">José Azar, Martin C. Schmalz &amp; Isabel Tecu, </w:t>
      </w:r>
      <w:r w:rsidRPr="00263B0F">
        <w:rPr>
          <w:i/>
          <w:iCs/>
        </w:rPr>
        <w:t>Anticompetitive Effects of Common Ownership</w:t>
      </w:r>
      <w:r w:rsidRPr="00263B0F">
        <w:t xml:space="preserve">, 73 </w:t>
      </w:r>
      <w:r w:rsidRPr="00263B0F">
        <w:rPr>
          <w:smallCaps/>
        </w:rPr>
        <w:t>J. Fin.</w:t>
      </w:r>
      <w:r w:rsidRPr="00263B0F">
        <w:t xml:space="preserve"> 1513 (2018)</w:t>
      </w:r>
      <w:r>
        <w:t>.</w:t>
      </w:r>
    </w:p>
  </w:footnote>
  <w:footnote w:id="11">
    <w:p w14:paraId="40A6EFE1" w14:textId="548A76B7" w:rsidR="006F1644" w:rsidRDefault="006F1644">
      <w:pPr>
        <w:pStyle w:val="FootnoteText"/>
      </w:pPr>
      <w:r>
        <w:rPr>
          <w:rStyle w:val="FootnoteReference"/>
        </w:rPr>
        <w:footnoteRef/>
      </w:r>
      <w:r>
        <w:t xml:space="preserve"> Merritt B. Fox &amp; Menesh Patel, </w:t>
      </w:r>
      <w:r w:rsidRPr="00945C1F">
        <w:rPr>
          <w:i/>
        </w:rPr>
        <w:t xml:space="preserve">Common Ownership, Do Managers Really Compete Less, </w:t>
      </w:r>
      <w:r w:rsidRPr="00945C1F">
        <w:t xml:space="preserve">39 </w:t>
      </w:r>
      <w:r w:rsidRPr="00945C1F">
        <w:rPr>
          <w:smallCaps/>
        </w:rPr>
        <w:t>Yale J. Reg. 136 (2022)</w:t>
      </w:r>
      <w:r>
        <w:rPr>
          <w:smallCaps/>
        </w:rPr>
        <w:t>.</w:t>
      </w:r>
    </w:p>
  </w:footnote>
  <w:footnote w:id="12">
    <w:p w14:paraId="68E0B744" w14:textId="6D63A417" w:rsidR="006F1644" w:rsidRPr="0069054B" w:rsidRDefault="006F1644">
      <w:pPr>
        <w:pStyle w:val="FootnoteText"/>
      </w:pPr>
      <w:r>
        <w:rPr>
          <w:rStyle w:val="FootnoteReference"/>
        </w:rPr>
        <w:footnoteRef/>
      </w:r>
      <w:r>
        <w:t xml:space="preserve"> The model for this, though it in fact involves shares held by a fund rather than directly, is BlackRock’s expansion of its Voting Choice option to retail investors invested in the iShares Core S&amp;P 500 ETF, encompassing roughly three million or more U.S. retail shareholder accounts. </w:t>
      </w:r>
      <w:r w:rsidRPr="006A40F1">
        <w:rPr>
          <w:i/>
          <w:iCs/>
        </w:rPr>
        <w:t>BlackRock Expands Voting Choice to Millions of U.S. Retail Shareholder Accounts</w:t>
      </w:r>
      <w:r w:rsidRPr="007D10C0">
        <w:t xml:space="preserve">, </w:t>
      </w:r>
      <w:r w:rsidRPr="00033634">
        <w:rPr>
          <w:smallCaps/>
        </w:rPr>
        <w:t>iShares</w:t>
      </w:r>
      <w:r>
        <w:rPr>
          <w:smallCaps/>
        </w:rPr>
        <w:t xml:space="preserve"> </w:t>
      </w:r>
      <w:r w:rsidRPr="007D10C0">
        <w:t>(Feb. 13, 2024), https://www.ishares.com/us/literature/press-release/blackrock-expands-voting-choice-february.pdf.</w:t>
      </w:r>
      <w:r>
        <w:t xml:space="preserve">  These retail investors, though, only have the option of choosing from six very broad-based proxy voting policies, three from </w:t>
      </w:r>
      <w:r w:rsidRPr="005D22E3">
        <w:t>ISS</w:t>
      </w:r>
      <w:r>
        <w:t xml:space="preserve"> (S</w:t>
      </w:r>
      <w:r w:rsidRPr="005D22E3">
        <w:t>ocially Responsible Investment (SRI) Policy, Catholic Faith-Based Policy, and Global Board-Aligned Policy</w:t>
      </w:r>
      <w:r>
        <w:t xml:space="preserve">) and three from </w:t>
      </w:r>
      <w:r w:rsidRPr="005D22E3">
        <w:t>Glass Lewis</w:t>
      </w:r>
      <w:r>
        <w:t xml:space="preserve"> (</w:t>
      </w:r>
      <w:r w:rsidRPr="005D22E3">
        <w:t>Benchmark Policy, Climate Policy, and Corporate Governance-Focused Policy</w:t>
      </w:r>
      <w:r>
        <w:t xml:space="preserve">). </w:t>
      </w:r>
      <w:r>
        <w:rPr>
          <w:i/>
        </w:rPr>
        <w:t xml:space="preserve">See </w:t>
      </w:r>
      <w:r w:rsidRPr="006A40F1">
        <w:rPr>
          <w:i/>
          <w:iCs/>
        </w:rPr>
        <w:t>Empowering Investors through BlackRock Voting Choice</w:t>
      </w:r>
      <w:r>
        <w:t xml:space="preserve">, </w:t>
      </w:r>
      <w:r w:rsidRPr="00033634">
        <w:rPr>
          <w:smallCaps/>
        </w:rPr>
        <w:t>BlackRock</w:t>
      </w:r>
      <w:r>
        <w:t xml:space="preserve">, </w:t>
      </w:r>
      <w:r w:rsidRPr="0089375F">
        <w:t>https://www.blackrock.com/corporate/about-us/investment-stewardship/blackrock-voting-choice</w:t>
      </w:r>
      <w:r>
        <w:t xml:space="preserve"> (last visited Feb. 28, 2024).</w:t>
      </w:r>
    </w:p>
  </w:footnote>
  <w:footnote w:id="13">
    <w:p w14:paraId="0AE2B61F" w14:textId="2DEA836F" w:rsidR="006F1644" w:rsidRDefault="006F1644" w:rsidP="000D6CDC">
      <w:pPr>
        <w:pStyle w:val="FootnoteText"/>
        <w:jc w:val="both"/>
      </w:pPr>
      <w:r>
        <w:rPr>
          <w:rStyle w:val="FootnoteReference"/>
        </w:rPr>
        <w:footnoteRef/>
      </w:r>
      <w:r>
        <w:t xml:space="preserve"> Despite the sustained dominance of this business type, </w:t>
      </w:r>
      <w:r w:rsidRPr="00AA6AEF">
        <w:rPr>
          <w:i/>
          <w:iCs/>
        </w:rPr>
        <w:t>see supra</w:t>
      </w:r>
      <w:r>
        <w:t xml:space="preserve"> note </w:t>
      </w:r>
      <w:r w:rsidR="00FA78FD">
        <w:fldChar w:fldCharType="begin"/>
      </w:r>
      <w:r w:rsidR="00FA78FD">
        <w:instrText xml:space="preserve"> NOTEREF _Ref180746738 \h </w:instrText>
      </w:r>
      <w:r w:rsidR="00FA78FD">
        <w:fldChar w:fldCharType="separate"/>
      </w:r>
      <w:r w:rsidR="005B5BC3">
        <w:t>3</w:t>
      </w:r>
      <w:r w:rsidR="00FA78FD">
        <w:fldChar w:fldCharType="end"/>
      </w:r>
      <w:r w:rsidR="00F67B54">
        <w:t>,</w:t>
      </w:r>
      <w:r>
        <w:t xml:space="preserve"> in recent years there has been an increase in business organizations that seek to advance social objectives to one extent or another. </w:t>
      </w:r>
      <w:r w:rsidRPr="0093164C">
        <w:rPr>
          <w:i/>
          <w:iCs/>
        </w:rPr>
        <w:t>See</w:t>
      </w:r>
      <w:r>
        <w:rPr>
          <w:i/>
          <w:iCs/>
        </w:rPr>
        <w:t>, e.g.</w:t>
      </w:r>
      <w:r>
        <w:t>,</w:t>
      </w:r>
      <w:r w:rsidRPr="0093164C">
        <w:rPr>
          <w:i/>
          <w:iCs/>
        </w:rPr>
        <w:t xml:space="preserve"> </w:t>
      </w:r>
      <w:r>
        <w:t xml:space="preserve">Jens Dammann, </w:t>
      </w:r>
      <w:r w:rsidRPr="00624515">
        <w:rPr>
          <w:i/>
          <w:iCs/>
        </w:rPr>
        <w:t>Publicly Traded Public Benefit Corporations: An Empirical Investigation</w:t>
      </w:r>
      <w:r>
        <w:t xml:space="preserve">, 29 </w:t>
      </w:r>
      <w:r w:rsidRPr="00624515">
        <w:rPr>
          <w:smallCaps/>
        </w:rPr>
        <w:t>Stan. J. L. Bus. &amp; Fin.</w:t>
      </w:r>
      <w:r>
        <w:t xml:space="preserve"> 265 (2024) (discussing and evaluating public benefit corporations); </w:t>
      </w:r>
      <w:r w:rsidRPr="00673B7C">
        <w:t xml:space="preserve">Ofer Eldar, </w:t>
      </w:r>
      <w:r w:rsidRPr="0093164C">
        <w:rPr>
          <w:i/>
          <w:iCs/>
        </w:rPr>
        <w:t>The Role of Social Enterprise and Hybrid Organizations</w:t>
      </w:r>
      <w:r w:rsidRPr="00673B7C">
        <w:t>, 2017 </w:t>
      </w:r>
      <w:r w:rsidRPr="0093164C">
        <w:rPr>
          <w:smallCaps/>
        </w:rPr>
        <w:t>Colum. Bus. L. Rev.</w:t>
      </w:r>
      <w:r>
        <w:rPr>
          <w:i/>
          <w:iCs/>
        </w:rPr>
        <w:t xml:space="preserve"> </w:t>
      </w:r>
      <w:r w:rsidRPr="00673B7C">
        <w:t>92</w:t>
      </w:r>
      <w:r>
        <w:t xml:space="preserve"> </w:t>
      </w:r>
      <w:r w:rsidRPr="00673B7C">
        <w:t>(2017)</w:t>
      </w:r>
      <w:r>
        <w:t xml:space="preserve"> (discussing and evaluating social enterprises). </w:t>
      </w:r>
    </w:p>
    <w:p w14:paraId="7243D719" w14:textId="36717E88" w:rsidR="006F1644" w:rsidRDefault="006F1644">
      <w:pPr>
        <w:pStyle w:val="FootnoteText"/>
      </w:pPr>
    </w:p>
  </w:footnote>
  <w:footnote w:id="14">
    <w:p w14:paraId="50806BA7" w14:textId="79CC1713" w:rsidR="006F1644" w:rsidRPr="006A40F1" w:rsidRDefault="006F1644">
      <w:pPr>
        <w:pStyle w:val="FootnoteText"/>
        <w:rPr>
          <w:i/>
        </w:rPr>
      </w:pPr>
      <w:r>
        <w:rPr>
          <w:rStyle w:val="FootnoteReference"/>
        </w:rPr>
        <w:footnoteRef/>
      </w:r>
      <w:r>
        <w:t xml:space="preserve"> This possibility is explored in Part III </w:t>
      </w:r>
      <w:r>
        <w:rPr>
          <w:i/>
        </w:rPr>
        <w:t>infra.</w:t>
      </w:r>
    </w:p>
  </w:footnote>
  <w:footnote w:id="15">
    <w:p w14:paraId="2AEEAA36" w14:textId="79E4D961" w:rsidR="006F1644" w:rsidRPr="00C345C3" w:rsidRDefault="006F1644" w:rsidP="00975FEC">
      <w:pPr>
        <w:pStyle w:val="FootnoteText"/>
        <w:jc w:val="both"/>
      </w:pPr>
      <w:r>
        <w:rPr>
          <w:rStyle w:val="FootnoteReference"/>
        </w:rPr>
        <w:footnoteRef/>
      </w:r>
      <w:r>
        <w:t xml:space="preserve"> </w:t>
      </w:r>
      <w:r>
        <w:rPr>
          <w:bCs/>
        </w:rPr>
        <w:t xml:space="preserve">See, e.g., Brett M. McDonnell, </w:t>
      </w:r>
      <w:r w:rsidRPr="008C0BB1">
        <w:rPr>
          <w:bCs/>
          <w:i/>
          <w:iCs/>
        </w:rPr>
        <w:t>From Duty and Disclosure to Power and Participation in Social Enterprise</w:t>
      </w:r>
      <w:r>
        <w:rPr>
          <w:bCs/>
        </w:rPr>
        <w:t xml:space="preserve">, 70 </w:t>
      </w:r>
      <w:r w:rsidRPr="008C0BB1">
        <w:rPr>
          <w:bCs/>
          <w:smallCaps/>
        </w:rPr>
        <w:t>Ala. L. Rev.</w:t>
      </w:r>
      <w:r>
        <w:rPr>
          <w:bCs/>
        </w:rPr>
        <w:t xml:space="preserve"> 77 (2018).</w:t>
      </w:r>
    </w:p>
  </w:footnote>
  <w:footnote w:id="16">
    <w:p w14:paraId="2104AF7D" w14:textId="3E9C4B60" w:rsidR="006F1644" w:rsidRDefault="006F1644" w:rsidP="00975FEC">
      <w:pPr>
        <w:pStyle w:val="FootnoteText"/>
        <w:jc w:val="both"/>
      </w:pPr>
      <w:r>
        <w:rPr>
          <w:rStyle w:val="FootnoteReference"/>
        </w:rPr>
        <w:footnoteRef/>
      </w:r>
      <w:r>
        <w:t xml:space="preserve"> </w:t>
      </w:r>
      <w:r w:rsidRPr="005E3083">
        <w:rPr>
          <w:rFonts w:cs="Times New Roman"/>
          <w:smallCaps/>
        </w:rPr>
        <w:t>Hansmann</w:t>
      </w:r>
      <w:r w:rsidRPr="005E3083">
        <w:rPr>
          <w:rFonts w:cs="Times New Roman"/>
        </w:rPr>
        <w:t xml:space="preserve">, </w:t>
      </w:r>
      <w:r w:rsidRPr="005E3083">
        <w:rPr>
          <w:rFonts w:cs="Times New Roman"/>
          <w:i/>
        </w:rPr>
        <w:t xml:space="preserve">supra </w:t>
      </w:r>
      <w:r w:rsidRPr="005E3083">
        <w:rPr>
          <w:rFonts w:cs="Times New Roman"/>
        </w:rPr>
        <w:t xml:space="preserve">note </w:t>
      </w:r>
      <w:r>
        <w:rPr>
          <w:rFonts w:cs="Times New Roman"/>
        </w:rPr>
        <w:fldChar w:fldCharType="begin"/>
      </w:r>
      <w:r>
        <w:rPr>
          <w:rFonts w:cs="Times New Roman"/>
        </w:rPr>
        <w:instrText xml:space="preserve"> NOTEREF _Ref178621612 \h  \* MERGEFORMAT </w:instrText>
      </w:r>
      <w:r>
        <w:rPr>
          <w:rFonts w:cs="Times New Roman"/>
        </w:rPr>
      </w:r>
      <w:r>
        <w:rPr>
          <w:rFonts w:cs="Times New Roman"/>
        </w:rPr>
        <w:fldChar w:fldCharType="separate"/>
      </w:r>
      <w:r w:rsidR="005B5BC3">
        <w:rPr>
          <w:rFonts w:cs="Times New Roman"/>
        </w:rPr>
        <w:t>5</w:t>
      </w:r>
      <w:r>
        <w:rPr>
          <w:rFonts w:cs="Times New Roman"/>
        </w:rPr>
        <w:fldChar w:fldCharType="end"/>
      </w:r>
      <w:r w:rsidRPr="005E3083">
        <w:rPr>
          <w:rFonts w:cs="Times New Roman"/>
          <w:i/>
        </w:rPr>
        <w:t xml:space="preserve"> </w:t>
      </w:r>
      <w:r w:rsidRPr="005E3083">
        <w:rPr>
          <w:rFonts w:cs="Times New Roman"/>
        </w:rPr>
        <w:t>at</w:t>
      </w:r>
      <w:r w:rsidR="00565984">
        <w:rPr>
          <w:rFonts w:cs="Times New Roman"/>
        </w:rPr>
        <w:t xml:space="preserve"> 44</w:t>
      </w:r>
      <w:r w:rsidRPr="005E3083">
        <w:rPr>
          <w:rFonts w:cs="Times New Roman"/>
        </w:rPr>
        <w:t xml:space="preserve">; Frank H. Easterbrook &amp; Daniel R. Fischel, </w:t>
      </w:r>
      <w:r w:rsidRPr="005E3083">
        <w:rPr>
          <w:rFonts w:cs="Times New Roman"/>
          <w:i/>
          <w:iCs/>
        </w:rPr>
        <w:t>Voting in Corporate Law</w:t>
      </w:r>
      <w:r w:rsidRPr="005E3083">
        <w:rPr>
          <w:rFonts w:cs="Times New Roman"/>
        </w:rPr>
        <w:t>, 26; J. L. &amp; ECON. 395 (1983</w:t>
      </w:r>
      <w:r>
        <w:rPr>
          <w:rFonts w:cs="Times New Roman"/>
        </w:rPr>
        <w:t>)</w:t>
      </w:r>
      <w:r w:rsidRPr="005E3083">
        <w:rPr>
          <w:rFonts w:cs="Times New Roman"/>
        </w:rPr>
        <w:t xml:space="preserve">; Eugene Fama, </w:t>
      </w:r>
      <w:r w:rsidRPr="005E3083">
        <w:rPr>
          <w:rFonts w:cs="Times New Roman"/>
          <w:i/>
          <w:iCs/>
        </w:rPr>
        <w:t>Contract Costs and Financing Decisions</w:t>
      </w:r>
      <w:r w:rsidRPr="005E3083">
        <w:rPr>
          <w:rFonts w:cs="Times New Roman"/>
        </w:rPr>
        <w:t>, 63 J. BUS. 571 (1990).</w:t>
      </w:r>
    </w:p>
  </w:footnote>
  <w:footnote w:id="17">
    <w:p w14:paraId="4BCD0808" w14:textId="77777777" w:rsidR="006F1644" w:rsidRDefault="006F1644" w:rsidP="00975FEC">
      <w:pPr>
        <w:pStyle w:val="FootnoteText"/>
        <w:jc w:val="both"/>
      </w:pPr>
      <w:r>
        <w:rPr>
          <w:rStyle w:val="FootnoteReference"/>
        </w:rPr>
        <w:footnoteRef/>
      </w:r>
      <w:r>
        <w:t xml:space="preserve"> In addition to an externality, negative or positive, a market imperfection may arise because of the presence of market power and informational asymmetries. </w:t>
      </w:r>
    </w:p>
  </w:footnote>
  <w:footnote w:id="18">
    <w:p w14:paraId="7B8A2951" w14:textId="34D244C8" w:rsidR="006F1644" w:rsidRDefault="006F1644" w:rsidP="00975FEC">
      <w:pPr>
        <w:pStyle w:val="FootnoteText"/>
        <w:jc w:val="both"/>
      </w:pPr>
      <w:r w:rsidRPr="00460791">
        <w:rPr>
          <w:rStyle w:val="FootnoteReference"/>
        </w:rPr>
        <w:footnoteRef/>
      </w:r>
      <w:r w:rsidRPr="00460791">
        <w:t xml:space="preserve"> </w:t>
      </w:r>
      <w:r>
        <w:t>E</w:t>
      </w:r>
      <w:r w:rsidRPr="00460791">
        <w:t xml:space="preserve">ven if </w:t>
      </w:r>
      <w:r>
        <w:t xml:space="preserve">a given firm’s </w:t>
      </w:r>
      <w:r w:rsidRPr="00460791">
        <w:t xml:space="preserve">shareholders all agree on the firm’s objective, they may nonetheless disagree on the best way to achieve that shared objective. In particular, </w:t>
      </w:r>
      <w:r w:rsidRPr="00460791">
        <w:rPr>
          <w:rFonts w:cs="Times New Roman"/>
        </w:rPr>
        <w:t xml:space="preserve">conditioned on whatever other ends, if any, they want the corporation to serve, a firm’s shareholders will want the corporation to maximize its share value but may differ in how they would like the firm to behave based on differences in beliefs as to what corporate behavior will in fact result in such share value maximization. </w:t>
      </w:r>
      <w:r>
        <w:rPr>
          <w:rFonts w:cs="Times New Roman"/>
        </w:rPr>
        <w:t>Because the subject of our inquiry concerns the circumstance in which investors have divergent views on the objectives of firm behavior, rather than divergent views on the way firms can best achieve a given objective, w</w:t>
      </w:r>
      <w:r w:rsidRPr="00460791">
        <w:rPr>
          <w:rFonts w:cs="Times New Roman"/>
        </w:rPr>
        <w:t xml:space="preserve">e </w:t>
      </w:r>
      <w:r>
        <w:rPr>
          <w:rFonts w:cs="Times New Roman"/>
        </w:rPr>
        <w:t xml:space="preserve">do not </w:t>
      </w:r>
      <w:r w:rsidRPr="00460791">
        <w:rPr>
          <w:rFonts w:cs="Times New Roman"/>
        </w:rPr>
        <w:t xml:space="preserve">address this source of </w:t>
      </w:r>
      <w:r>
        <w:rPr>
          <w:rFonts w:cs="Times New Roman"/>
        </w:rPr>
        <w:t xml:space="preserve">investor </w:t>
      </w:r>
      <w:r w:rsidRPr="00460791">
        <w:rPr>
          <w:rFonts w:cs="Times New Roman"/>
        </w:rPr>
        <w:t>preference heterogeneity</w:t>
      </w:r>
      <w:r>
        <w:rPr>
          <w:rFonts w:cs="Times New Roman"/>
        </w:rPr>
        <w:t>.</w:t>
      </w:r>
    </w:p>
  </w:footnote>
  <w:footnote w:id="19">
    <w:p w14:paraId="7D9C2E15" w14:textId="3089BD47" w:rsidR="006F1644" w:rsidRDefault="006F1644" w:rsidP="005A1129">
      <w:pPr>
        <w:pStyle w:val="FootnoteText"/>
      </w:pPr>
      <w:r>
        <w:rPr>
          <w:rStyle w:val="FootnoteReference"/>
        </w:rPr>
        <w:footnoteRef/>
      </w:r>
      <w:r>
        <w:t xml:space="preserve"> An August 2023 report by Sullivan &amp; Cromwell indicated that 43 proposals in the social or environmental area received a majority vote in 2022 and the first half of 2023 (out of 428 voted on).  </w:t>
      </w:r>
      <w:r w:rsidRPr="006A40F1">
        <w:rPr>
          <w:i/>
          <w:iCs/>
        </w:rPr>
        <w:t>See</w:t>
      </w:r>
      <w:r>
        <w:t xml:space="preserve"> Sullivan &amp; Cromwell LLP, </w:t>
      </w:r>
      <w:r w:rsidRPr="006A40F1">
        <w:rPr>
          <w:i/>
          <w:iCs/>
        </w:rPr>
        <w:t>2023 Proxy Season Review: Part 1</w:t>
      </w:r>
      <w:r>
        <w:t xml:space="preserve"> (2023), </w:t>
      </w:r>
      <w:r w:rsidRPr="00B0708A">
        <w:t>https://www.sullcrom.com/SullivanCromwell/_Assets/PDFs/Memos/sc-publication-2023-proxy-season-review-part-1.pdf</w:t>
      </w:r>
      <w:r>
        <w:t xml:space="preserve">. For example, seven of the ones receiving a majority vote asked for racial equity audits, one voiced support for allowing collective bargaining, four asked for greater transparency with respect to political spending. </w:t>
      </w:r>
      <w:r w:rsidRPr="00000FA4">
        <w:rPr>
          <w:i/>
          <w:iCs/>
        </w:rPr>
        <w:t>See id.</w:t>
      </w:r>
      <w:r>
        <w:t xml:space="preserve"> Seventeen of the successful proposals were related to the environment and, respectively, called for a variety of measures including emissions targets, climate transition plans, reducing plastic use and stopping deforestation. </w:t>
      </w:r>
      <w:r w:rsidRPr="00000FA4">
        <w:rPr>
          <w:i/>
          <w:iCs/>
        </w:rPr>
        <w:t>See id.</w:t>
      </w:r>
      <w:r>
        <w:t xml:space="preserve"> </w:t>
      </w:r>
    </w:p>
    <w:p w14:paraId="0453D2D1" w14:textId="15C50417" w:rsidR="006F1644" w:rsidRDefault="006F1644">
      <w:pPr>
        <w:pStyle w:val="FootnoteText"/>
      </w:pPr>
    </w:p>
  </w:footnote>
  <w:footnote w:id="20">
    <w:p w14:paraId="2015AB26" w14:textId="7E9DDD93" w:rsidR="006F1644" w:rsidRDefault="006F1644" w:rsidP="00975FEC">
      <w:pPr>
        <w:pStyle w:val="FootnoteText"/>
        <w:jc w:val="both"/>
      </w:pPr>
      <w:r>
        <w:rPr>
          <w:rStyle w:val="FootnoteReference"/>
        </w:rPr>
        <w:footnoteRef/>
      </w:r>
      <w:r>
        <w:t xml:space="preserve"> </w:t>
      </w:r>
      <w:r w:rsidRPr="003F109A">
        <w:rPr>
          <w:i/>
          <w:iCs/>
        </w:rPr>
        <w:t>See</w:t>
      </w:r>
      <w:r>
        <w:t xml:space="preserve"> </w:t>
      </w:r>
      <w:r w:rsidRPr="00C11CCE">
        <w:rPr>
          <w:i/>
          <w:iCs/>
        </w:rPr>
        <w:t>supra</w:t>
      </w:r>
      <w:r>
        <w:t xml:space="preserve"> note </w:t>
      </w:r>
      <w:r>
        <w:fldChar w:fldCharType="begin"/>
      </w:r>
      <w:r>
        <w:instrText xml:space="preserve"> NOTEREF _Ref178628593 \h </w:instrText>
      </w:r>
      <w:r>
        <w:fldChar w:fldCharType="separate"/>
      </w:r>
      <w:r w:rsidR="005B5BC3">
        <w:t>2</w:t>
      </w:r>
      <w:r>
        <w:fldChar w:fldCharType="end"/>
      </w:r>
      <w:r>
        <w:t>.</w:t>
      </w:r>
    </w:p>
  </w:footnote>
  <w:footnote w:id="21">
    <w:p w14:paraId="58D8552A" w14:textId="3D86032B" w:rsidR="006F1644" w:rsidRPr="005E3083" w:rsidRDefault="006F1644" w:rsidP="00975FEC">
      <w:pPr>
        <w:spacing w:after="0"/>
        <w:jc w:val="both"/>
        <w:rPr>
          <w:rFonts w:ascii="Times New Roman" w:hAnsi="Times New Roman" w:cs="Times New Roman"/>
          <w:sz w:val="20"/>
          <w:szCs w:val="20"/>
        </w:rPr>
      </w:pPr>
      <w:r w:rsidRPr="005E3083">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5E3083">
        <w:rPr>
          <w:rFonts w:ascii="Times New Roman" w:hAnsi="Times New Roman" w:cs="Times New Roman"/>
          <w:i/>
          <w:iCs/>
          <w:sz w:val="20"/>
          <w:szCs w:val="20"/>
        </w:rPr>
        <w:t xml:space="preserve">See </w:t>
      </w:r>
      <w:r w:rsidRPr="005E3083">
        <w:rPr>
          <w:rFonts w:ascii="Times New Roman" w:hAnsi="Times New Roman" w:cs="Times New Roman"/>
          <w:sz w:val="20"/>
          <w:szCs w:val="20"/>
        </w:rPr>
        <w:t xml:space="preserve">Louis Makowski &amp; Joseph M. Ostroy, </w:t>
      </w:r>
      <w:r w:rsidRPr="005E3083">
        <w:rPr>
          <w:rFonts w:ascii="Times New Roman" w:hAnsi="Times New Roman" w:cs="Times New Roman"/>
          <w:i/>
          <w:iCs/>
          <w:sz w:val="20"/>
          <w:szCs w:val="20"/>
        </w:rPr>
        <w:t>Perfect Competition and the Creativity of the Market</w:t>
      </w:r>
      <w:r w:rsidRPr="005E3083">
        <w:rPr>
          <w:rFonts w:ascii="Times New Roman" w:hAnsi="Times New Roman" w:cs="Times New Roman"/>
          <w:sz w:val="20"/>
          <w:szCs w:val="20"/>
        </w:rPr>
        <w:t xml:space="preserve">, 39 J. ECON. LITERATURE 479 (2001); </w:t>
      </w:r>
      <w:r w:rsidRPr="005E3083">
        <w:rPr>
          <w:rFonts w:ascii="Times New Roman" w:eastAsia="TimesNewRomanPSMT" w:hAnsi="Times New Roman" w:cs="Times New Roman"/>
          <w:sz w:val="20"/>
          <w:szCs w:val="20"/>
          <w:lang w:val="ja-JP"/>
        </w:rPr>
        <w:t xml:space="preserve">Kenneth J. Arrow </w:t>
      </w:r>
      <w:r>
        <w:rPr>
          <w:rFonts w:ascii="Times New Roman" w:eastAsia="TimesNewRomanPSMT" w:hAnsi="Times New Roman" w:cs="Times New Roman"/>
          <w:sz w:val="20"/>
          <w:szCs w:val="20"/>
        </w:rPr>
        <w:t>&amp;</w:t>
      </w:r>
      <w:r w:rsidRPr="005E3083">
        <w:rPr>
          <w:rFonts w:ascii="Times New Roman" w:eastAsia="TimesNewRomanPSMT" w:hAnsi="Times New Roman" w:cs="Times New Roman"/>
          <w:sz w:val="20"/>
          <w:szCs w:val="20"/>
          <w:lang w:val="ja-JP"/>
        </w:rPr>
        <w:t xml:space="preserve"> Gerard Debreu, </w:t>
      </w:r>
      <w:r w:rsidRPr="005E3083">
        <w:rPr>
          <w:rFonts w:ascii="Times New Roman" w:hAnsi="Times New Roman" w:cs="Times New Roman"/>
          <w:i/>
          <w:iCs/>
          <w:sz w:val="20"/>
          <w:szCs w:val="20"/>
        </w:rPr>
        <w:t>Existence of an Equilibrium for a Competitive Economy</w:t>
      </w:r>
      <w:r w:rsidRPr="005E3083">
        <w:rPr>
          <w:rFonts w:ascii="Times New Roman" w:eastAsia="TimesNewRomanPSMT" w:hAnsi="Times New Roman" w:cs="Times New Roman"/>
          <w:sz w:val="20"/>
          <w:szCs w:val="20"/>
          <w:lang w:val="ja-JP"/>
        </w:rPr>
        <w:t xml:space="preserve">, 22 </w:t>
      </w:r>
      <w:r w:rsidRPr="00507446">
        <w:rPr>
          <w:rFonts w:ascii="Times New Roman" w:eastAsia="TimesNewRomanPSMT" w:hAnsi="Times New Roman" w:cs="Times New Roman"/>
          <w:smallCaps/>
          <w:sz w:val="20"/>
          <w:szCs w:val="20"/>
        </w:rPr>
        <w:t>Econometrica</w:t>
      </w:r>
      <w:r>
        <w:rPr>
          <w:rFonts w:ascii="Times New Roman" w:eastAsia="TimesNewRomanPSMT" w:hAnsi="Times New Roman" w:cs="Times New Roman"/>
          <w:sz w:val="20"/>
          <w:szCs w:val="20"/>
        </w:rPr>
        <w:t xml:space="preserve"> </w:t>
      </w:r>
      <w:r w:rsidRPr="005E3083">
        <w:rPr>
          <w:rFonts w:ascii="Times New Roman" w:eastAsia="TimesNewRomanPSMT" w:hAnsi="Times New Roman" w:cs="Times New Roman"/>
          <w:sz w:val="20"/>
          <w:szCs w:val="20"/>
          <w:lang w:val="ja-JP"/>
        </w:rPr>
        <w:t>265, 268 (1954).</w:t>
      </w:r>
    </w:p>
  </w:footnote>
  <w:footnote w:id="22">
    <w:p w14:paraId="7E481EAB" w14:textId="776C7E85" w:rsidR="006F1644" w:rsidRPr="005E3083" w:rsidRDefault="006F1644" w:rsidP="00975FEC">
      <w:pPr>
        <w:pStyle w:val="FootnoteText"/>
        <w:jc w:val="both"/>
        <w:rPr>
          <w:rFonts w:cs="Times New Roman"/>
        </w:rPr>
      </w:pPr>
      <w:r w:rsidRPr="005E3083">
        <w:rPr>
          <w:rStyle w:val="FootnoteReference"/>
          <w:rFonts w:cs="Times New Roman"/>
        </w:rPr>
        <w:footnoteRef/>
      </w:r>
      <w:r w:rsidRPr="005E3083">
        <w:rPr>
          <w:rFonts w:cs="Times New Roman"/>
        </w:rPr>
        <w:t xml:space="preserve"> Symmetrically, a share value maximizing firm will, from a social point of view, underperform costly activities that have positive externalities, for example when it trains young workers and is unable to fully capture a large portion of the resulting lifetime improvement in their productivity. </w:t>
      </w:r>
      <w:r>
        <w:rPr>
          <w:rFonts w:cs="Times New Roman"/>
        </w:rPr>
        <w:t xml:space="preserve">Some profit sacrificers will want a firm to provide some public good. The failure of a share value maximizing firm that might be well positioned to provide such a good is </w:t>
      </w:r>
      <w:r>
        <w:t>an extreme version of a market failure due to positive externalities.</w:t>
      </w:r>
    </w:p>
  </w:footnote>
  <w:footnote w:id="23">
    <w:p w14:paraId="4A4D3E25" w14:textId="2E8AC507" w:rsidR="006F1644" w:rsidRDefault="006F1644">
      <w:pPr>
        <w:pStyle w:val="FootnoteText"/>
      </w:pPr>
      <w:r>
        <w:rPr>
          <w:rStyle w:val="FootnoteReference"/>
        </w:rPr>
        <w:footnoteRef/>
      </w:r>
      <w:r>
        <w:t xml:space="preserve"> This is only true in terms of static efficiency, however.  The prospect of being able to price above marginal cost is a major spur for innovation, which also leads to social benefits.  Figuring out the socially most beneficial point of tradeoff for any industry is an extraordinarily complex and inexact task, which may make it a poor candidate except in the most extreme cases for shareholders deciding when a deviation from share value maximization is pro social. </w:t>
      </w:r>
    </w:p>
  </w:footnote>
  <w:footnote w:id="24">
    <w:p w14:paraId="2FCD9456" w14:textId="7EA00609" w:rsidR="006F1644" w:rsidRPr="005E3083" w:rsidRDefault="006F1644" w:rsidP="00975FEC">
      <w:pPr>
        <w:pStyle w:val="FootnoteText"/>
        <w:jc w:val="both"/>
        <w:rPr>
          <w:rFonts w:cs="Times New Roman"/>
        </w:rPr>
      </w:pPr>
      <w:r w:rsidRPr="005E3083">
        <w:rPr>
          <w:rStyle w:val="FootnoteReference"/>
          <w:rFonts w:cs="Times New Roman"/>
        </w:rPr>
        <w:footnoteRef/>
      </w:r>
      <w:r w:rsidRPr="005E3083">
        <w:rPr>
          <w:rFonts w:cs="Times New Roman"/>
        </w:rPr>
        <w:t xml:space="preserve"> In making this statement, we are, as is standard in most law and economics analysis, equating a </w:t>
      </w:r>
      <w:r>
        <w:rPr>
          <w:rFonts w:cs="Times New Roman"/>
        </w:rPr>
        <w:t xml:space="preserve">Kaldor-Hicks </w:t>
      </w:r>
      <w:r w:rsidRPr="005E3083">
        <w:rPr>
          <w:rFonts w:cs="Times New Roman"/>
        </w:rPr>
        <w:t xml:space="preserve">improvement with enhanced social welfare. In other words, the change may make some people better off and others worse off, but the welfare improvement for those made better off exceeds the welfare reduction of those made worse off as measured by whether the winners would be willing in a hypothetical bargain to pay off the losers. Whether in the last analysis one regards a Kaldor-Hicks </w:t>
      </w:r>
      <w:r>
        <w:rPr>
          <w:rFonts w:cs="Times New Roman"/>
        </w:rPr>
        <w:t xml:space="preserve">improvement arising from a </w:t>
      </w:r>
      <w:r w:rsidRPr="005E3083">
        <w:rPr>
          <w:rFonts w:cs="Times New Roman"/>
        </w:rPr>
        <w:t>change in a corporation’s behavior to be socially desirable depends as well on how one views the distributional impact of the change and whether, if the distributional impact is negative, that outweighs the increase i</w:t>
      </w:r>
      <w:r>
        <w:rPr>
          <w:rFonts w:cs="Times New Roman"/>
        </w:rPr>
        <w:t>n</w:t>
      </w:r>
      <w:r w:rsidRPr="005E3083">
        <w:rPr>
          <w:rFonts w:cs="Times New Roman"/>
        </w:rPr>
        <w:t xml:space="preserve"> society’s net wealth. </w:t>
      </w:r>
    </w:p>
  </w:footnote>
  <w:footnote w:id="25">
    <w:p w14:paraId="09697146" w14:textId="00E3D494" w:rsidR="006F1644" w:rsidRDefault="006F1644">
      <w:pPr>
        <w:pStyle w:val="FootnoteText"/>
      </w:pPr>
      <w:r>
        <w:rPr>
          <w:rStyle w:val="FootnoteReference"/>
        </w:rPr>
        <w:footnoteRef/>
      </w:r>
      <w:r>
        <w:t xml:space="preserve"> In some instances, shareholders may want the firm to undertake a social good but where the desired conduct also will ultimately benefit the firm and its shareholders. The usual example is a firm that treats its workers or consumers well, which is expected to translate into long term gains for the company. We would not consider shareholders desiring such a change as profit sacrificers, even if they do not connect the desired social change with eventual corporate gain. Below, we discuss the reasons why shareholders might identify share value maximizing opportunities overlooked by the firm’s managers. </w:t>
      </w:r>
      <w:r w:rsidRPr="00000FA4">
        <w:rPr>
          <w:i/>
          <w:iCs/>
        </w:rPr>
        <w:t>See</w:t>
      </w:r>
      <w:r>
        <w:t xml:space="preserve"> Part II.C.1, </w:t>
      </w:r>
      <w:r w:rsidRPr="00000FA4">
        <w:rPr>
          <w:i/>
          <w:iCs/>
        </w:rPr>
        <w:t>infra</w:t>
      </w:r>
      <w:r>
        <w:t xml:space="preserve">. </w:t>
      </w:r>
      <w:r w:rsidRPr="00000FA4">
        <w:rPr>
          <w:i/>
          <w:iCs/>
        </w:rPr>
        <w:t>See also</w:t>
      </w:r>
      <w:r>
        <w:t xml:space="preserve"> note </w:t>
      </w:r>
      <w:r w:rsidR="00E41C9D">
        <w:rPr>
          <w:highlight w:val="yellow"/>
        </w:rPr>
        <w:fldChar w:fldCharType="begin"/>
      </w:r>
      <w:r w:rsidR="00E41C9D">
        <w:instrText xml:space="preserve"> NOTEREF _Ref180754404 \h </w:instrText>
      </w:r>
      <w:r w:rsidR="00E41C9D">
        <w:rPr>
          <w:highlight w:val="yellow"/>
        </w:rPr>
      </w:r>
      <w:r w:rsidR="00E41C9D">
        <w:rPr>
          <w:highlight w:val="yellow"/>
        </w:rPr>
        <w:fldChar w:fldCharType="separate"/>
      </w:r>
      <w:r w:rsidR="005B5BC3">
        <w:t>128</w:t>
      </w:r>
      <w:r w:rsidR="00E41C9D">
        <w:rPr>
          <w:highlight w:val="yellow"/>
        </w:rPr>
        <w:fldChar w:fldCharType="end"/>
      </w:r>
      <w:r>
        <w:t xml:space="preserve"> </w:t>
      </w:r>
      <w:r w:rsidRPr="00000FA4">
        <w:rPr>
          <w:i/>
          <w:iCs/>
        </w:rPr>
        <w:t>infra</w:t>
      </w:r>
      <w:r>
        <w:t xml:space="preserve"> (discussing enlightened shareholder value).</w:t>
      </w:r>
    </w:p>
  </w:footnote>
  <w:footnote w:id="26">
    <w:p w14:paraId="0AE9579B" w14:textId="35593248" w:rsidR="006F1644" w:rsidRDefault="006F1644" w:rsidP="009170BE">
      <w:pPr>
        <w:pStyle w:val="FootnoteText"/>
      </w:pPr>
      <w:r>
        <w:rPr>
          <w:rStyle w:val="FootnoteReference"/>
        </w:rPr>
        <w:footnoteRef/>
      </w:r>
      <w:r>
        <w:t xml:space="preserve"> </w:t>
      </w:r>
      <w:r w:rsidRPr="005E3083">
        <w:rPr>
          <w:rFonts w:cs="Times New Roman"/>
          <w:i/>
          <w:iCs/>
        </w:rPr>
        <w:t xml:space="preserve">See </w:t>
      </w:r>
      <w:r w:rsidRPr="005E3083">
        <w:rPr>
          <w:rFonts w:cs="Times New Roman"/>
          <w:color w:val="000000"/>
          <w:shd w:val="clear" w:color="auto" w:fill="FFFFFF"/>
        </w:rPr>
        <w:t>Michal Barzuza, Quinn Curtis &amp; David H. Webber, </w:t>
      </w:r>
      <w:r w:rsidRPr="005E3083">
        <w:rPr>
          <w:rStyle w:val="Emphasis"/>
          <w:rFonts w:cs="Times New Roman"/>
          <w:color w:val="000000"/>
          <w:bdr w:val="none" w:sz="0" w:space="0" w:color="auto" w:frame="1"/>
          <w:shd w:val="clear" w:color="auto" w:fill="FFFFFF"/>
        </w:rPr>
        <w:t>The Millennial Corporation: Strong Stakeholders, Weak Managers</w:t>
      </w:r>
      <w:r w:rsidRPr="005E3083">
        <w:rPr>
          <w:rStyle w:val="Emphasis"/>
          <w:rFonts w:cs="Times New Roman"/>
          <w:i w:val="0"/>
          <w:iCs w:val="0"/>
          <w:color w:val="000000"/>
          <w:bdr w:val="none" w:sz="0" w:space="0" w:color="auto" w:frame="1"/>
          <w:shd w:val="clear" w:color="auto" w:fill="FFFFFF"/>
        </w:rPr>
        <w:t xml:space="preserve">, </w:t>
      </w:r>
      <w:r>
        <w:rPr>
          <w:rStyle w:val="Emphasis"/>
          <w:rFonts w:cs="Times New Roman"/>
          <w:i w:val="0"/>
          <w:iCs w:val="0"/>
          <w:color w:val="000000"/>
          <w:bdr w:val="none" w:sz="0" w:space="0" w:color="auto" w:frame="1"/>
          <w:shd w:val="clear" w:color="auto" w:fill="FFFFFF"/>
        </w:rPr>
        <w:t xml:space="preserve">28 </w:t>
      </w:r>
      <w:r w:rsidRPr="005E3083">
        <w:rPr>
          <w:rStyle w:val="Emphasis"/>
          <w:rFonts w:cs="Times New Roman"/>
          <w:i w:val="0"/>
          <w:iCs w:val="0"/>
          <w:smallCaps/>
          <w:color w:val="000000"/>
          <w:bdr w:val="none" w:sz="0" w:space="0" w:color="auto" w:frame="1"/>
          <w:shd w:val="clear" w:color="auto" w:fill="FFFFFF"/>
        </w:rPr>
        <w:t>Stan. J. L. Bus. &amp; Fin</w:t>
      </w:r>
      <w:r w:rsidRPr="005E3083">
        <w:rPr>
          <w:rStyle w:val="Emphasis"/>
          <w:rFonts w:cs="Times New Roman"/>
          <w:i w:val="0"/>
          <w:iCs w:val="0"/>
          <w:color w:val="000000"/>
          <w:bdr w:val="none" w:sz="0" w:space="0" w:color="auto" w:frame="1"/>
          <w:shd w:val="clear" w:color="auto" w:fill="FFFFFF"/>
        </w:rPr>
        <w:t xml:space="preserve">. </w:t>
      </w:r>
      <w:r>
        <w:rPr>
          <w:rStyle w:val="Emphasis"/>
          <w:rFonts w:cs="Times New Roman"/>
          <w:i w:val="0"/>
          <w:iCs w:val="0"/>
          <w:color w:val="000000"/>
          <w:bdr w:val="none" w:sz="0" w:space="0" w:color="auto" w:frame="1"/>
          <w:shd w:val="clear" w:color="auto" w:fill="FFFFFF"/>
        </w:rPr>
        <w:t>255</w:t>
      </w:r>
      <w:r w:rsidRPr="005E3083">
        <w:rPr>
          <w:rStyle w:val="Emphasis"/>
          <w:rFonts w:cs="Times New Roman"/>
          <w:i w:val="0"/>
          <w:iCs w:val="0"/>
          <w:color w:val="000000"/>
          <w:bdr w:val="none" w:sz="0" w:space="0" w:color="auto" w:frame="1"/>
          <w:shd w:val="clear" w:color="auto" w:fill="FFFFFF"/>
        </w:rPr>
        <w:t xml:space="preserve"> (2023)</w:t>
      </w:r>
      <w:r>
        <w:rPr>
          <w:rStyle w:val="Emphasis"/>
          <w:rFonts w:cs="Times New Roman"/>
          <w:i w:val="0"/>
          <w:iCs w:val="0"/>
          <w:color w:val="000000"/>
          <w:bdr w:val="none" w:sz="0" w:space="0" w:color="auto" w:frame="1"/>
          <w:shd w:val="clear" w:color="auto" w:fill="FFFFFF"/>
        </w:rPr>
        <w:t>.</w:t>
      </w:r>
    </w:p>
  </w:footnote>
  <w:footnote w:id="27">
    <w:p w14:paraId="130B9075" w14:textId="34908417" w:rsidR="006F1644" w:rsidRDefault="006F1644">
      <w:pPr>
        <w:pStyle w:val="FootnoteText"/>
      </w:pPr>
      <w:r>
        <w:rPr>
          <w:rStyle w:val="FootnoteReference"/>
        </w:rPr>
        <w:footnoteRef/>
      </w:r>
      <w:r>
        <w:t xml:space="preserve"> Kaldor-Hicks efficiency is one of the two leading normative criteria in economics. An outcome is Kaldor-Hicks efficient if there are no Kaldor-Hicks improvements possible</w:t>
      </w:r>
      <w:r w:rsidR="008E152C">
        <w:t>.</w:t>
      </w:r>
      <w:r w:rsidRPr="002C36AF">
        <w:rPr>
          <w:i/>
          <w:iCs/>
        </w:rPr>
        <w:t xml:space="preserve"> See</w:t>
      </w:r>
      <w:r>
        <w:t xml:space="preserve"> note </w:t>
      </w:r>
      <w:r>
        <w:fldChar w:fldCharType="begin"/>
      </w:r>
      <w:r>
        <w:instrText xml:space="preserve"> NOTEREF _Ref180490774 \h </w:instrText>
      </w:r>
      <w:r>
        <w:fldChar w:fldCharType="separate"/>
      </w:r>
      <w:r w:rsidR="005B5BC3">
        <w:t>22</w:t>
      </w:r>
      <w:r>
        <w:fldChar w:fldCharType="end"/>
      </w:r>
      <w:r>
        <w:t xml:space="preserve">, </w:t>
      </w:r>
      <w:r w:rsidRPr="002C36AF">
        <w:rPr>
          <w:i/>
          <w:iCs/>
        </w:rPr>
        <w:t>supra</w:t>
      </w:r>
      <w:r>
        <w:t xml:space="preserve"> (definition of a Kaldor-Hicks improvement). Kaldor-Hicks efficiency is a less demanding notion of efficiency than Pareto efficiency, the second normative criteria in economics, in that a Pareto efficient outcome, i.e., an outcome where there is no reorientation of resources that would make one person strictly better off and all others no worse off, need not be Kaldor-Hicks efficient.  </w:t>
      </w:r>
    </w:p>
  </w:footnote>
  <w:footnote w:id="28">
    <w:p w14:paraId="3F84C1D2" w14:textId="4A2E7E22" w:rsidR="006F1644" w:rsidRPr="003B5092" w:rsidRDefault="006F1644">
      <w:pPr>
        <w:pStyle w:val="FootnoteText"/>
      </w:pPr>
      <w:r>
        <w:rPr>
          <w:rStyle w:val="FootnoteReference"/>
        </w:rPr>
        <w:footnoteRef/>
      </w:r>
      <w:r>
        <w:t xml:space="preserve"> </w:t>
      </w:r>
      <w:r w:rsidR="0069257D">
        <w:rPr>
          <w:i/>
          <w:iCs/>
        </w:rPr>
        <w:t xml:space="preserve">See </w:t>
      </w:r>
      <w:r>
        <w:t xml:space="preserve">Fox &amp; </w:t>
      </w:r>
      <w:r w:rsidRPr="00F74C1B">
        <w:t xml:space="preserve">Patel, </w:t>
      </w:r>
      <w:r w:rsidRPr="00F74C1B">
        <w:rPr>
          <w:i/>
        </w:rPr>
        <w:t xml:space="preserve">supra </w:t>
      </w:r>
      <w:r w:rsidRPr="00F74C1B">
        <w:t>note</w:t>
      </w:r>
      <w:r w:rsidR="00F74C1B" w:rsidRPr="00F74C1B">
        <w:t xml:space="preserve"> </w:t>
      </w:r>
      <w:r w:rsidR="00F74C1B" w:rsidRPr="00F74C1B">
        <w:fldChar w:fldCharType="begin"/>
      </w:r>
      <w:r w:rsidR="00F74C1B" w:rsidRPr="00F74C1B">
        <w:instrText xml:space="preserve"> NOTEREF _Ref180746103 \h </w:instrText>
      </w:r>
      <w:r w:rsidR="00F74C1B">
        <w:instrText xml:space="preserve"> \* MERGEFORMAT </w:instrText>
      </w:r>
      <w:r w:rsidR="00F74C1B" w:rsidRPr="00F74C1B">
        <w:fldChar w:fldCharType="separate"/>
      </w:r>
      <w:r w:rsidR="005B5BC3">
        <w:t>9</w:t>
      </w:r>
      <w:r w:rsidR="00F74C1B" w:rsidRPr="00F74C1B">
        <w:fldChar w:fldCharType="end"/>
      </w:r>
      <w:r w:rsidRPr="00F74C1B">
        <w:t>, at</w:t>
      </w:r>
      <w:r w:rsidR="00F74C1B" w:rsidRPr="00F74C1B">
        <w:t xml:space="preserve"> 161-65</w:t>
      </w:r>
      <w:r w:rsidRPr="00F74C1B">
        <w:t>.</w:t>
      </w:r>
      <w:r w:rsidR="00407E7A" w:rsidRPr="00F74C1B">
        <w:t xml:space="preserve"> Common owners’ preferences may also embody aspects of the market imperfection-type preferences discussed above on the theory, advocated by</w:t>
      </w:r>
      <w:r w:rsidR="00407E7A">
        <w:t xml:space="preserve"> some scholars, that common owners prefer that each of the firms in which they are invested curtail their negative externalities to the extent those externalities affect other any other firm in which they are invested. </w:t>
      </w:r>
      <w:r w:rsidR="00407E7A" w:rsidRPr="00BF18B8">
        <w:rPr>
          <w:i/>
          <w:iCs/>
        </w:rPr>
        <w:t>See, e.g.</w:t>
      </w:r>
      <w:r w:rsidR="00407E7A">
        <w:t xml:space="preserve">, Madison Condon, </w:t>
      </w:r>
      <w:r w:rsidR="00407E7A" w:rsidRPr="00BF18B8">
        <w:rPr>
          <w:i/>
          <w:iCs/>
        </w:rPr>
        <w:t>Externalities and the Common Owner</w:t>
      </w:r>
      <w:r w:rsidR="00407E7A" w:rsidRPr="00BF18B8">
        <w:t xml:space="preserve">, 95 </w:t>
      </w:r>
      <w:r w:rsidR="00407E7A" w:rsidRPr="002E1BE7">
        <w:rPr>
          <w:smallCaps/>
        </w:rPr>
        <w:t>Wash. L. Rev.</w:t>
      </w:r>
      <w:r w:rsidR="00407E7A">
        <w:t xml:space="preserve"> </w:t>
      </w:r>
      <w:r w:rsidR="00407E7A" w:rsidRPr="00BF18B8">
        <w:t>1 (2020).</w:t>
      </w:r>
      <w:r w:rsidR="00407E7A">
        <w:t xml:space="preserve"> </w:t>
      </w:r>
      <w:r w:rsidR="00E43FFB" w:rsidRPr="00FC3B26">
        <w:rPr>
          <w:i/>
          <w:iCs/>
        </w:rPr>
        <w:t>See also</w:t>
      </w:r>
      <w:r w:rsidR="00E43FFB">
        <w:t xml:space="preserve"> </w:t>
      </w:r>
      <w:r w:rsidR="00E43FFB" w:rsidRPr="00E43FFB">
        <w:t>Jeffrey N. Gordon</w:t>
      </w:r>
      <w:r w:rsidR="00E43FFB">
        <w:t xml:space="preserve">, </w:t>
      </w:r>
      <w:r w:rsidR="00E43FFB" w:rsidRPr="00FC3B26">
        <w:rPr>
          <w:i/>
          <w:iCs/>
        </w:rPr>
        <w:t>Systematic Stewardship</w:t>
      </w:r>
      <w:r w:rsidR="007346E7">
        <w:rPr>
          <w:smallCaps/>
        </w:rPr>
        <w:t>, 47 J. Corp. L</w:t>
      </w:r>
      <w:r w:rsidR="00FC3B26">
        <w:rPr>
          <w:smallCaps/>
        </w:rPr>
        <w:t xml:space="preserve">. </w:t>
      </w:r>
      <w:r w:rsidR="00FC3B26">
        <w:t>627 (2022)</w:t>
      </w:r>
      <w:r w:rsidR="00E43FFB" w:rsidRPr="00E43FFB">
        <w:t xml:space="preserve"> </w:t>
      </w:r>
      <w:r w:rsidR="00E43FFB">
        <w:t>(</w:t>
      </w:r>
      <w:r w:rsidR="003137AD">
        <w:t xml:space="preserve">asset managers of </w:t>
      </w:r>
      <w:r w:rsidR="007F166F">
        <w:t xml:space="preserve">large, </w:t>
      </w:r>
      <w:r w:rsidR="003137AD">
        <w:t xml:space="preserve">diversified funds </w:t>
      </w:r>
      <w:r w:rsidR="00932C3F">
        <w:t xml:space="preserve">want corporate activity to minimize economy-wide </w:t>
      </w:r>
      <w:r w:rsidR="003137AD" w:rsidRPr="003137AD">
        <w:t>harm</w:t>
      </w:r>
      <w:r w:rsidR="00932C3F">
        <w:t>).</w:t>
      </w:r>
    </w:p>
  </w:footnote>
  <w:footnote w:id="29">
    <w:p w14:paraId="7561D840" w14:textId="29783275" w:rsidR="006F1644" w:rsidRPr="00A663FA" w:rsidRDefault="006F1644" w:rsidP="00975FEC">
      <w:pPr>
        <w:pStyle w:val="FootnoteText"/>
        <w:jc w:val="both"/>
      </w:pPr>
      <w:r w:rsidRPr="00A663FA">
        <w:rPr>
          <w:rStyle w:val="FootnoteReference"/>
        </w:rPr>
        <w:footnoteRef/>
      </w:r>
      <w:r w:rsidRPr="00A663FA">
        <w:t xml:space="preserve"> </w:t>
      </w:r>
      <w:r w:rsidRPr="00CA5CFE">
        <w:rPr>
          <w:rFonts w:cs="Times New Roman"/>
        </w:rPr>
        <w:t>As will be clear during our second stage analysis in Part</w:t>
      </w:r>
      <w:r>
        <w:rPr>
          <w:rFonts w:cs="Times New Roman"/>
        </w:rPr>
        <w:t xml:space="preserve"> III</w:t>
      </w:r>
      <w:r w:rsidRPr="00CA5CFE">
        <w:rPr>
          <w:rFonts w:cs="Times New Roman"/>
        </w:rPr>
        <w:t xml:space="preserve">, our assumption </w:t>
      </w:r>
      <w:r>
        <w:rPr>
          <w:rFonts w:cs="Times New Roman"/>
        </w:rPr>
        <w:t xml:space="preserve">here </w:t>
      </w:r>
      <w:r w:rsidRPr="00CA5CFE">
        <w:rPr>
          <w:rFonts w:cs="Times New Roman"/>
        </w:rPr>
        <w:t xml:space="preserve">of no investor in this part is equivalent to a world in which all investors are, to use the terminology from </w:t>
      </w:r>
      <w:r>
        <w:rPr>
          <w:rFonts w:cs="Times New Roman"/>
        </w:rPr>
        <w:t>Part III, “</w:t>
      </w:r>
      <w:r w:rsidRPr="00CA5CFE">
        <w:rPr>
          <w:rFonts w:cs="Times New Roman"/>
        </w:rPr>
        <w:t>unconstrained</w:t>
      </w:r>
      <w:r>
        <w:rPr>
          <w:rFonts w:cs="Times New Roman"/>
        </w:rPr>
        <w:t xml:space="preserve">.” </w:t>
      </w:r>
    </w:p>
  </w:footnote>
  <w:footnote w:id="30">
    <w:p w14:paraId="7CC077C9" w14:textId="77777777" w:rsidR="006F1644" w:rsidRPr="005E3083" w:rsidRDefault="006F1644" w:rsidP="00975FEC">
      <w:pPr>
        <w:pStyle w:val="FootnoteText"/>
        <w:jc w:val="both"/>
        <w:rPr>
          <w:rFonts w:cs="Times New Roman"/>
        </w:rPr>
      </w:pPr>
      <w:r w:rsidRPr="005E3083">
        <w:rPr>
          <w:rStyle w:val="FootnoteReference"/>
          <w:rFonts w:cs="Times New Roman"/>
        </w:rPr>
        <w:footnoteRef/>
      </w:r>
      <w:r w:rsidRPr="005E3083">
        <w:rPr>
          <w:rFonts w:cs="Times New Roman"/>
        </w:rPr>
        <w:t xml:space="preserve"> </w:t>
      </w:r>
      <w:r w:rsidRPr="005E3083">
        <w:rPr>
          <w:rFonts w:cs="Times New Roman"/>
          <w:i/>
          <w:iCs/>
        </w:rPr>
        <w:t>See, e.g.</w:t>
      </w:r>
      <w:r w:rsidRPr="005E3083">
        <w:rPr>
          <w:rFonts w:cs="Times New Roman"/>
        </w:rPr>
        <w:t>, DGCL § 141(a).</w:t>
      </w:r>
    </w:p>
  </w:footnote>
  <w:footnote w:id="31">
    <w:p w14:paraId="7EC06455" w14:textId="77777777" w:rsidR="006F1644" w:rsidRPr="005E3083" w:rsidRDefault="006F1644" w:rsidP="00975FEC">
      <w:pPr>
        <w:pStyle w:val="FootnoteText"/>
        <w:jc w:val="both"/>
        <w:rPr>
          <w:rFonts w:cs="Times New Roman"/>
        </w:rPr>
      </w:pPr>
      <w:r w:rsidRPr="005E3083">
        <w:rPr>
          <w:rStyle w:val="FootnoteReference"/>
          <w:rFonts w:cs="Times New Roman"/>
        </w:rPr>
        <w:footnoteRef/>
      </w:r>
      <w:r w:rsidRPr="005E3083">
        <w:rPr>
          <w:rFonts w:cs="Times New Roman"/>
        </w:rPr>
        <w:t xml:space="preserve"> While many other factors influence managerial incentives, </w:t>
      </w:r>
      <w:r w:rsidRPr="005E3083">
        <w:rPr>
          <w:rFonts w:cs="Times New Roman"/>
          <w:i/>
          <w:iCs/>
        </w:rPr>
        <w:t>see, e.g.</w:t>
      </w:r>
      <w:r w:rsidRPr="005E3083">
        <w:rPr>
          <w:rFonts w:cs="Times New Roman"/>
        </w:rPr>
        <w:t xml:space="preserve">, Dorothy S. Lund &amp; Elizabeth Pollman, </w:t>
      </w:r>
      <w:r w:rsidRPr="005E3083">
        <w:rPr>
          <w:rFonts w:cs="Times New Roman"/>
          <w:i/>
          <w:iCs/>
        </w:rPr>
        <w:t>The Corporate Governance Machine</w:t>
      </w:r>
      <w:r w:rsidRPr="005E3083">
        <w:rPr>
          <w:rFonts w:cs="Times New Roman"/>
        </w:rPr>
        <w:t xml:space="preserve">, 121 </w:t>
      </w:r>
      <w:r w:rsidRPr="005E3083">
        <w:rPr>
          <w:rFonts w:cs="Times New Roman"/>
          <w:smallCaps/>
        </w:rPr>
        <w:t>Colum. L. Rev.</w:t>
      </w:r>
      <w:r w:rsidRPr="005E3083">
        <w:rPr>
          <w:rFonts w:cs="Times New Roman"/>
        </w:rPr>
        <w:t xml:space="preserve"> 2563 2578-609 (2021) (discussing other aspects of the corporate governance framework), the constituents identified in the text above are the ones that have the most salient influence.</w:t>
      </w:r>
    </w:p>
  </w:footnote>
  <w:footnote w:id="32">
    <w:p w14:paraId="29907C10" w14:textId="314EC3D7" w:rsidR="006F1644" w:rsidRPr="00915618" w:rsidRDefault="006F1644" w:rsidP="00867842">
      <w:pPr>
        <w:pStyle w:val="FootnoteText"/>
        <w:jc w:val="both"/>
      </w:pPr>
      <w:r>
        <w:rPr>
          <w:rStyle w:val="FootnoteReference"/>
        </w:rPr>
        <w:footnoteRef/>
      </w:r>
      <w:r>
        <w:t xml:space="preserve"> At least since Berle and Means put forth their managerial theory of the firm, scholars have recognized that the interests of management can diverge from those of shareholders. </w:t>
      </w:r>
      <w:r>
        <w:rPr>
          <w:i/>
          <w:iCs/>
        </w:rPr>
        <w:t xml:space="preserve">See </w:t>
      </w:r>
      <w:r w:rsidRPr="004E210E">
        <w:rPr>
          <w:smallCaps/>
        </w:rPr>
        <w:t>Adolf Berle &amp; Gardiner Means</w:t>
      </w:r>
      <w:r>
        <w:t xml:space="preserve">, </w:t>
      </w:r>
      <w:r w:rsidRPr="00277E44">
        <w:rPr>
          <w:smallCaps/>
        </w:rPr>
        <w:t>The Modern Corporation and Private Property (</w:t>
      </w:r>
      <w:r>
        <w:t xml:space="preserve">1932).  </w:t>
      </w:r>
      <w:r>
        <w:rPr>
          <w:i/>
        </w:rPr>
        <w:t>See also</w:t>
      </w:r>
      <w:r>
        <w:t xml:space="preserve"> </w:t>
      </w:r>
      <w:r w:rsidRPr="00594486">
        <w:rPr>
          <w:smallCaps/>
        </w:rPr>
        <w:t>Michael C. Jensen, A Theory of the Firm: Governance, Residual Claims, and Organizational Forms</w:t>
      </w:r>
      <w:r>
        <w:t xml:space="preserve"> 144-45 (2000)</w:t>
      </w:r>
      <w:r w:rsidRPr="0091260A">
        <w:t xml:space="preserve"> </w:t>
      </w:r>
      <w:r>
        <w:t xml:space="preserve">(summarizing the primary ways in which managerial and shareholder incentives may diverge); </w:t>
      </w:r>
      <w:r w:rsidRPr="00EB0F23">
        <w:rPr>
          <w:smallCaps/>
        </w:rPr>
        <w:t>Merritt B. Fox, Finance and Industrial Performance in a Dynamic Economy</w:t>
      </w:r>
      <w:r>
        <w:t xml:space="preserve"> </w:t>
      </w:r>
      <w:r w:rsidRPr="00EB0F23">
        <w:t>121-23</w:t>
      </w:r>
      <w:r>
        <w:t xml:space="preserve"> (same).</w:t>
      </w:r>
    </w:p>
  </w:footnote>
  <w:footnote w:id="33">
    <w:p w14:paraId="011412C8" w14:textId="309B63FD" w:rsidR="006F1644" w:rsidRPr="0069257D" w:rsidRDefault="006F1644">
      <w:pPr>
        <w:pStyle w:val="FootnoteText"/>
        <w:rPr>
          <w:iCs/>
        </w:rPr>
      </w:pPr>
      <w:r>
        <w:rPr>
          <w:rStyle w:val="FootnoteReference"/>
        </w:rPr>
        <w:footnoteRef/>
      </w:r>
      <w:r>
        <w:t xml:space="preserve"> </w:t>
      </w:r>
      <w:r>
        <w:rPr>
          <w:i/>
        </w:rPr>
        <w:t>See, e.g.</w:t>
      </w:r>
      <w:r w:rsidRPr="0069257D">
        <w:rPr>
          <w:iCs/>
        </w:rPr>
        <w:t>,</w:t>
      </w:r>
      <w:r>
        <w:rPr>
          <w:i/>
        </w:rPr>
        <w:t xml:space="preserve"> </w:t>
      </w:r>
      <w:r w:rsidRPr="0069257D">
        <w:rPr>
          <w:iCs/>
          <w:smallCaps/>
        </w:rPr>
        <w:t>Fox</w:t>
      </w:r>
      <w:r>
        <w:rPr>
          <w:iCs/>
        </w:rPr>
        <w:t xml:space="preserve">, supra note </w:t>
      </w:r>
      <w:r>
        <w:rPr>
          <w:iCs/>
        </w:rPr>
        <w:fldChar w:fldCharType="begin"/>
      </w:r>
      <w:r>
        <w:rPr>
          <w:iCs/>
        </w:rPr>
        <w:instrText xml:space="preserve"> NOTEREF _Ref180497425 \h </w:instrText>
      </w:r>
      <w:r>
        <w:rPr>
          <w:iCs/>
        </w:rPr>
      </w:r>
      <w:r>
        <w:rPr>
          <w:iCs/>
        </w:rPr>
        <w:fldChar w:fldCharType="separate"/>
      </w:r>
      <w:r w:rsidR="005B5BC3">
        <w:rPr>
          <w:iCs/>
        </w:rPr>
        <w:t>30</w:t>
      </w:r>
      <w:r>
        <w:rPr>
          <w:iCs/>
        </w:rPr>
        <w:fldChar w:fldCharType="end"/>
      </w:r>
      <w:r>
        <w:rPr>
          <w:iCs/>
        </w:rPr>
        <w:t xml:space="preserve">, at 121-23. </w:t>
      </w:r>
    </w:p>
  </w:footnote>
  <w:footnote w:id="34">
    <w:p w14:paraId="35D61D12" w14:textId="5E9D83AA" w:rsidR="006F1644" w:rsidRPr="005E3083" w:rsidRDefault="006F1644" w:rsidP="00975FEC">
      <w:pPr>
        <w:pStyle w:val="FootnoteText"/>
        <w:jc w:val="both"/>
        <w:rPr>
          <w:rFonts w:cs="Times New Roman"/>
        </w:rPr>
      </w:pPr>
      <w:r w:rsidRPr="005E3083">
        <w:rPr>
          <w:rStyle w:val="FootnoteReference"/>
          <w:rFonts w:cs="Times New Roman"/>
        </w:rPr>
        <w:footnoteRef/>
      </w:r>
      <w:r w:rsidRPr="005E3083">
        <w:rPr>
          <w:rFonts w:cs="Times New Roman"/>
        </w:rPr>
        <w:t xml:space="preserve"> This conclusion requires at least a modest qualification, however</w:t>
      </w:r>
      <w:r>
        <w:rPr>
          <w:rFonts w:cs="Times New Roman"/>
        </w:rPr>
        <w:t xml:space="preserve">. </w:t>
      </w:r>
      <w:r w:rsidRPr="005E3083">
        <w:rPr>
          <w:rFonts w:cs="Times New Roman"/>
        </w:rPr>
        <w:t>When it comes managerial decisions concerning the use of the existing productive capacity of the firm, the decisions that maximize the firm’s residuals – what provides the resources to satisfy all but the last two benefits</w:t>
      </w:r>
      <w:r>
        <w:rPr>
          <w:rFonts w:cs="Times New Roman"/>
        </w:rPr>
        <w:t>, reputation and a personal sense of doing good</w:t>
      </w:r>
      <w:r w:rsidRPr="005E3083">
        <w:rPr>
          <w:rFonts w:cs="Times New Roman"/>
        </w:rPr>
        <w:t xml:space="preserve"> – are consistently the decisions that will maximize share value</w:t>
      </w:r>
      <w:r>
        <w:rPr>
          <w:rFonts w:cs="Times New Roman"/>
        </w:rPr>
        <w:t xml:space="preserve">. </w:t>
      </w:r>
      <w:r w:rsidRPr="005E3083">
        <w:rPr>
          <w:rFonts w:cs="Times New Roman"/>
        </w:rPr>
        <w:t xml:space="preserve">This may or may not be true of decisions concerning new investment in the firm’s productive capacity, </w:t>
      </w:r>
      <w:r>
        <w:rPr>
          <w:rFonts w:cs="Times New Roman"/>
        </w:rPr>
        <w:t xml:space="preserve">i.e., </w:t>
      </w:r>
      <w:r w:rsidRPr="005E3083">
        <w:rPr>
          <w:rFonts w:cs="Times New Roman"/>
        </w:rPr>
        <w:t xml:space="preserve">whether to replace worn out or obsolescent capacity or to create new capacity. The qualification arises in the situation where the cash flow generated by the firm’s current operations exceeds what would be needed to fund all the non-negative net present value </w:t>
      </w:r>
      <w:r>
        <w:rPr>
          <w:rFonts w:cs="Times New Roman"/>
        </w:rPr>
        <w:t xml:space="preserve">(NPV) </w:t>
      </w:r>
      <w:r w:rsidRPr="005E3083">
        <w:rPr>
          <w:rFonts w:cs="Times New Roman"/>
        </w:rPr>
        <w:t>project ideas that the firm has generated</w:t>
      </w:r>
      <w:r>
        <w:rPr>
          <w:rFonts w:cs="Times New Roman"/>
        </w:rPr>
        <w:t xml:space="preserve">. </w:t>
      </w:r>
      <w:r w:rsidRPr="005E3083">
        <w:rPr>
          <w:rFonts w:cs="Times New Roman"/>
        </w:rPr>
        <w:t xml:space="preserve">Share value maximization generally requires the return of this surplus to the firm’s shareholders. However, using this surplus to implement </w:t>
      </w:r>
      <w:r>
        <w:rPr>
          <w:rFonts w:cs="Times New Roman"/>
        </w:rPr>
        <w:t xml:space="preserve">some </w:t>
      </w:r>
      <w:r w:rsidRPr="005E3083">
        <w:rPr>
          <w:rFonts w:cs="Times New Roman"/>
        </w:rPr>
        <w:t xml:space="preserve">negative </w:t>
      </w:r>
      <w:r>
        <w:rPr>
          <w:rFonts w:cs="Times New Roman"/>
        </w:rPr>
        <w:t xml:space="preserve">NPV </w:t>
      </w:r>
      <w:r w:rsidRPr="005E3083">
        <w:rPr>
          <w:rFonts w:cs="Times New Roman"/>
        </w:rPr>
        <w:t>investment pro</w:t>
      </w:r>
      <w:r>
        <w:rPr>
          <w:rFonts w:cs="Times New Roman"/>
        </w:rPr>
        <w:t>posals</w:t>
      </w:r>
      <w:r w:rsidRPr="005E3083">
        <w:rPr>
          <w:rFonts w:cs="Times New Roman"/>
        </w:rPr>
        <w:t xml:space="preserve"> – i.e., ones that will produce a positive cash flow but will decrease share value because shareholders could be expected to earn a higher risk-adjusted return simply investing in the market – can enhance the firm’s ability over time to provide these </w:t>
      </w:r>
      <w:r>
        <w:rPr>
          <w:rFonts w:cs="Times New Roman"/>
        </w:rPr>
        <w:t xml:space="preserve">strictly self-interested </w:t>
      </w:r>
      <w:r w:rsidRPr="005E3083">
        <w:rPr>
          <w:rFonts w:cs="Times New Roman"/>
        </w:rPr>
        <w:t xml:space="preserve">managerial </w:t>
      </w:r>
      <w:r>
        <w:rPr>
          <w:rFonts w:cs="Times New Roman"/>
        </w:rPr>
        <w:t>interests.</w:t>
      </w:r>
      <w:r w:rsidRPr="005E3083">
        <w:rPr>
          <w:rFonts w:cs="Times New Roman"/>
        </w:rPr>
        <w:t xml:space="preserve"> </w:t>
      </w:r>
      <w:r>
        <w:rPr>
          <w:rFonts w:cs="Times New Roman"/>
          <w:i/>
        </w:rPr>
        <w:t xml:space="preserve">See </w:t>
      </w:r>
      <w:r>
        <w:t xml:space="preserve">Michael C. Jensen, </w:t>
      </w:r>
      <w:r>
        <w:rPr>
          <w:i/>
          <w:iCs/>
        </w:rPr>
        <w:t>Agency Costs of Free Cash Flow, Corporate Finance, and Takeovers</w:t>
      </w:r>
      <w:r>
        <w:t xml:space="preserve">, 76 </w:t>
      </w:r>
      <w:r>
        <w:rPr>
          <w:smallCaps/>
        </w:rPr>
        <w:t>Am. Econ. Rev</w:t>
      </w:r>
      <w:r>
        <w:t>. 323 (1986).</w:t>
      </w:r>
      <w:r w:rsidRPr="005E3083">
        <w:rPr>
          <w:rFonts w:cs="Times New Roman"/>
        </w:rPr>
        <w:t xml:space="preserve">  </w:t>
      </w:r>
    </w:p>
    <w:p w14:paraId="393485BD" w14:textId="1C60EA77" w:rsidR="006F1644" w:rsidRPr="005E3083" w:rsidRDefault="006F1644" w:rsidP="00975FEC">
      <w:pPr>
        <w:pStyle w:val="FootnoteText"/>
        <w:jc w:val="both"/>
        <w:rPr>
          <w:rFonts w:cs="Times New Roman"/>
        </w:rPr>
      </w:pPr>
      <w:r w:rsidRPr="005E3083">
        <w:rPr>
          <w:rFonts w:cs="Times New Roman"/>
        </w:rPr>
        <w:tab/>
        <w:t xml:space="preserve">In this regard, aspects of the current corporate governance system that push </w:t>
      </w:r>
      <w:r w:rsidRPr="005E3083">
        <w:rPr>
          <w:rFonts w:cs="Times New Roman"/>
          <w:i/>
        </w:rPr>
        <w:t xml:space="preserve">toward </w:t>
      </w:r>
      <w:r w:rsidRPr="005E3083">
        <w:rPr>
          <w:rFonts w:cs="Times New Roman"/>
        </w:rPr>
        <w:t xml:space="preserve">share value maximization and against the preferences of managers </w:t>
      </w:r>
      <w:r>
        <w:rPr>
          <w:rFonts w:cs="Times New Roman"/>
        </w:rPr>
        <w:t xml:space="preserve">to make certain negative NPV investments </w:t>
      </w:r>
      <w:r w:rsidRPr="005E3083">
        <w:rPr>
          <w:rFonts w:cs="Times New Roman"/>
        </w:rPr>
        <w:t>can act consistently with the preferences of shareholders who seek to reduce over time the size of an externality producing industry. To the extent they are correct in their prediction of sharply reduced demand for oil in future decades, oil company shareholders who call for an end to exploration and development and warn against “stranded assets” would be an example of persons favoring share value maximization where managers to serve their own needs are charting a non-share-value-maximizing course.</w:t>
      </w:r>
      <w:r>
        <w:rPr>
          <w:rFonts w:cs="Times New Roman"/>
        </w:rPr>
        <w:t xml:space="preserve"> On the other hand, the preferences of management to make some such negative NPV projects replacing warn out productive capacity can align with the preferences of shareholders who seek to avoid the social dislocations associated with the layoff of workers and with damage to the economies of rust belt communities. Here, aspects of the current corporate governance system that push toward share value maximization work contrary to the interests of both management and these particular shareholders. </w:t>
      </w:r>
    </w:p>
  </w:footnote>
  <w:footnote w:id="35">
    <w:p w14:paraId="2EFB837F" w14:textId="71AAE034" w:rsidR="006F1644" w:rsidRPr="005E3083" w:rsidRDefault="006F1644" w:rsidP="00975FEC">
      <w:pPr>
        <w:pStyle w:val="FootnoteText"/>
        <w:jc w:val="both"/>
        <w:rPr>
          <w:rFonts w:cs="Times New Roman"/>
        </w:rPr>
      </w:pPr>
      <w:r w:rsidRPr="005E3083">
        <w:rPr>
          <w:rStyle w:val="FootnoteReference"/>
          <w:rFonts w:cs="Times New Roman"/>
        </w:rPr>
        <w:footnoteRef/>
      </w:r>
      <w:r w:rsidRPr="005E3083">
        <w:rPr>
          <w:rFonts w:cs="Times New Roman"/>
        </w:rPr>
        <w:t xml:space="preserve"> In the famous Dodd versus Berle debate</w:t>
      </w:r>
      <w:r>
        <w:rPr>
          <w:rFonts w:cs="Times New Roman"/>
        </w:rPr>
        <w:t xml:space="preserve"> of the 1930s</w:t>
      </w:r>
      <w:r w:rsidRPr="005E3083">
        <w:rPr>
          <w:rFonts w:cs="Times New Roman"/>
        </w:rPr>
        <w:t xml:space="preserve">, both sides assumed that the managers of large public corporations were largely unconstrained, but Dodd in particular wanted managers to </w:t>
      </w:r>
      <w:r>
        <w:rPr>
          <w:rFonts w:cs="Times New Roman"/>
        </w:rPr>
        <w:t xml:space="preserve">be “professionals” and </w:t>
      </w:r>
      <w:r w:rsidRPr="005E3083">
        <w:rPr>
          <w:rFonts w:cs="Times New Roman"/>
        </w:rPr>
        <w:t xml:space="preserve">use </w:t>
      </w:r>
      <w:r>
        <w:rPr>
          <w:rFonts w:cs="Times New Roman"/>
        </w:rPr>
        <w:t xml:space="preserve">this discretion </w:t>
      </w:r>
      <w:r w:rsidRPr="005E3083">
        <w:rPr>
          <w:rFonts w:cs="Times New Roman"/>
        </w:rPr>
        <w:t xml:space="preserve">to do </w:t>
      </w:r>
      <w:r>
        <w:rPr>
          <w:rFonts w:cs="Times New Roman"/>
        </w:rPr>
        <w:t xml:space="preserve">a certain amount of </w:t>
      </w:r>
      <w:r w:rsidRPr="005E3083">
        <w:rPr>
          <w:rFonts w:cs="Times New Roman"/>
        </w:rPr>
        <w:t>social good</w:t>
      </w:r>
      <w:r>
        <w:rPr>
          <w:rFonts w:cs="Times New Roman"/>
        </w:rPr>
        <w:t xml:space="preserve"> in the same way as was expected of members of the more traditional learned professions such as law, medicine, the clergy, and the professoriate</w:t>
      </w:r>
      <w:r w:rsidRPr="005E3083">
        <w:rPr>
          <w:rFonts w:cs="Times New Roman"/>
        </w:rPr>
        <w:t xml:space="preserve">. </w:t>
      </w:r>
      <w:r>
        <w:rPr>
          <w:rFonts w:cs="Times New Roman"/>
          <w:i/>
          <w:iCs/>
        </w:rPr>
        <w:t xml:space="preserve">See </w:t>
      </w:r>
      <w:r w:rsidRPr="005E3083">
        <w:rPr>
          <w:rFonts w:cs="Times New Roman"/>
        </w:rPr>
        <w:t xml:space="preserve">A. A. Berle, Jr., </w:t>
      </w:r>
      <w:r w:rsidRPr="005E3083">
        <w:rPr>
          <w:rFonts w:cs="Times New Roman"/>
          <w:i/>
        </w:rPr>
        <w:t>Corporate Powers as Powers in Trust</w:t>
      </w:r>
      <w:r w:rsidRPr="005E3083">
        <w:rPr>
          <w:rFonts w:cs="Times New Roman"/>
        </w:rPr>
        <w:t xml:space="preserve">, 44 </w:t>
      </w:r>
      <w:r w:rsidRPr="004B1868">
        <w:rPr>
          <w:rFonts w:cs="Times New Roman"/>
          <w:smallCaps/>
        </w:rPr>
        <w:t>Harv. L. Rev.</w:t>
      </w:r>
      <w:r w:rsidRPr="005E3083">
        <w:rPr>
          <w:rFonts w:cs="Times New Roman"/>
        </w:rPr>
        <w:t xml:space="preserve"> 1049, 1073 (1931); E. Merrick Dodd, Jr., </w:t>
      </w:r>
      <w:r w:rsidRPr="005E3083">
        <w:rPr>
          <w:rFonts w:cs="Times New Roman"/>
          <w:i/>
        </w:rPr>
        <w:t>For Whom Are Corporate Managers Trustees?</w:t>
      </w:r>
      <w:r w:rsidRPr="005E3083">
        <w:rPr>
          <w:rFonts w:cs="Times New Roman"/>
        </w:rPr>
        <w:t xml:space="preserve">, 45 </w:t>
      </w:r>
      <w:r w:rsidRPr="004B1868">
        <w:rPr>
          <w:rFonts w:cs="Times New Roman"/>
          <w:smallCaps/>
        </w:rPr>
        <w:t>Harv. L. Rev.</w:t>
      </w:r>
      <w:r w:rsidRPr="005E3083">
        <w:rPr>
          <w:rFonts w:cs="Times New Roman"/>
        </w:rPr>
        <w:t xml:space="preserve"> 1145, 1147 (1932); Adolf A. Berle, Jr., </w:t>
      </w:r>
      <w:r w:rsidRPr="005E3083">
        <w:rPr>
          <w:rFonts w:cs="Times New Roman"/>
          <w:i/>
        </w:rPr>
        <w:t>For Whom Corporate Managers Are Trustees: A Not</w:t>
      </w:r>
      <w:r w:rsidRPr="005E3083">
        <w:rPr>
          <w:rFonts w:cs="Times New Roman"/>
        </w:rPr>
        <w:t xml:space="preserve">e, 45 </w:t>
      </w:r>
      <w:r w:rsidRPr="004B1868">
        <w:rPr>
          <w:rFonts w:cs="Times New Roman"/>
          <w:smallCaps/>
        </w:rPr>
        <w:t>Harv. L. Rev.</w:t>
      </w:r>
      <w:r w:rsidRPr="005E3083">
        <w:rPr>
          <w:rFonts w:cs="Times New Roman"/>
        </w:rPr>
        <w:t xml:space="preserve"> 1365 (1932). This idea still had currency among </w:t>
      </w:r>
      <w:r>
        <w:rPr>
          <w:rFonts w:cs="Times New Roman"/>
        </w:rPr>
        <w:t xml:space="preserve">some </w:t>
      </w:r>
      <w:r w:rsidRPr="005E3083">
        <w:rPr>
          <w:rFonts w:cs="Times New Roman"/>
        </w:rPr>
        <w:t>prominent commentators in the late 1950s</w:t>
      </w:r>
      <w:r>
        <w:rPr>
          <w:rFonts w:cs="Times New Roman"/>
        </w:rPr>
        <w:t xml:space="preserve">. </w:t>
      </w:r>
      <w:r w:rsidRPr="007F30F2">
        <w:rPr>
          <w:rFonts w:cs="Times New Roman"/>
          <w:i/>
          <w:iCs/>
        </w:rPr>
        <w:t>See</w:t>
      </w:r>
      <w:r w:rsidRPr="005E3083">
        <w:rPr>
          <w:rFonts w:cs="Times New Roman"/>
        </w:rPr>
        <w:t xml:space="preserve"> Kingman Brewster, Jr., </w:t>
      </w:r>
      <w:r w:rsidRPr="005E3083">
        <w:rPr>
          <w:rFonts w:cs="Times New Roman"/>
          <w:i/>
        </w:rPr>
        <w:t xml:space="preserve">The Corporation and Economic Federalism, </w:t>
      </w:r>
      <w:r w:rsidRPr="005E3083">
        <w:rPr>
          <w:rFonts w:cs="Times New Roman"/>
        </w:rPr>
        <w:t xml:space="preserve">in </w:t>
      </w:r>
      <w:r w:rsidRPr="005E3083">
        <w:rPr>
          <w:rFonts w:cs="Times New Roman"/>
          <w:smallCaps/>
        </w:rPr>
        <w:t>Edward Mason</w:t>
      </w:r>
      <w:r w:rsidRPr="005E3083">
        <w:rPr>
          <w:rFonts w:cs="Times New Roman"/>
        </w:rPr>
        <w:t xml:space="preserve">, ed., </w:t>
      </w:r>
      <w:r w:rsidRPr="005E3083">
        <w:rPr>
          <w:rFonts w:cs="Times New Roman"/>
          <w:smallCaps/>
        </w:rPr>
        <w:t>The Corporation in Modern Society</w:t>
      </w:r>
      <w:r w:rsidRPr="005E3083">
        <w:rPr>
          <w:rFonts w:cs="Times New Roman"/>
        </w:rPr>
        <w:t xml:space="preserve"> 72-84 (1959)</w:t>
      </w:r>
      <w:r>
        <w:rPr>
          <w:rFonts w:cs="Times New Roman"/>
        </w:rPr>
        <w:t xml:space="preserve">. </w:t>
      </w:r>
      <w:r w:rsidRPr="005E3083">
        <w:rPr>
          <w:rFonts w:cs="Times New Roman"/>
        </w:rPr>
        <w:t xml:space="preserve"> </w:t>
      </w:r>
    </w:p>
  </w:footnote>
  <w:footnote w:id="36">
    <w:p w14:paraId="01F05ED4" w14:textId="41C44A88" w:rsidR="006F1644" w:rsidRPr="005E3083" w:rsidRDefault="006F1644" w:rsidP="00975FEC">
      <w:pPr>
        <w:pStyle w:val="FootnoteText"/>
        <w:jc w:val="both"/>
        <w:rPr>
          <w:rFonts w:cs="Times New Roman"/>
        </w:rPr>
      </w:pPr>
      <w:r w:rsidRPr="005E3083">
        <w:rPr>
          <w:rStyle w:val="FootnoteReference"/>
          <w:rFonts w:cs="Times New Roman"/>
        </w:rPr>
        <w:footnoteRef/>
      </w:r>
      <w:r>
        <w:rPr>
          <w:rFonts w:cs="Times New Roman"/>
          <w:i/>
        </w:rPr>
        <w:t xml:space="preserve">See </w:t>
      </w:r>
      <w:r>
        <w:rPr>
          <w:rFonts w:cs="Times New Roman"/>
        </w:rPr>
        <w:t xml:space="preserve">note </w:t>
      </w:r>
      <w:r>
        <w:rPr>
          <w:rFonts w:cs="Times New Roman"/>
        </w:rPr>
        <w:fldChar w:fldCharType="begin"/>
      </w:r>
      <w:r>
        <w:rPr>
          <w:rFonts w:cs="Times New Roman"/>
        </w:rPr>
        <w:instrText xml:space="preserve"> NOTEREF _Ref180702874 \h </w:instrText>
      </w:r>
      <w:r>
        <w:rPr>
          <w:rFonts w:cs="Times New Roman"/>
        </w:rPr>
      </w:r>
      <w:r>
        <w:rPr>
          <w:rFonts w:cs="Times New Roman"/>
        </w:rPr>
        <w:fldChar w:fldCharType="separate"/>
      </w:r>
      <w:r w:rsidR="005B5BC3">
        <w:rPr>
          <w:rFonts w:cs="Times New Roman"/>
        </w:rPr>
        <w:t>17</w:t>
      </w:r>
      <w:r>
        <w:rPr>
          <w:rFonts w:cs="Times New Roman"/>
        </w:rPr>
        <w:fldChar w:fldCharType="end"/>
      </w:r>
      <w:r>
        <w:rPr>
          <w:rFonts w:cs="Times New Roman"/>
        </w:rPr>
        <w:t xml:space="preserve"> </w:t>
      </w:r>
      <w:r>
        <w:rPr>
          <w:rFonts w:cs="Times New Roman"/>
          <w:i/>
        </w:rPr>
        <w:t>supra.</w:t>
      </w:r>
      <w:r w:rsidRPr="005E3083">
        <w:rPr>
          <w:rFonts w:cs="Times New Roman"/>
        </w:rPr>
        <w:t xml:space="preserve"> </w:t>
      </w:r>
    </w:p>
  </w:footnote>
  <w:footnote w:id="37">
    <w:p w14:paraId="7D72ADA0" w14:textId="2FD1558A" w:rsidR="006F1644" w:rsidRPr="005E3083" w:rsidRDefault="006F1644" w:rsidP="00975FEC">
      <w:pPr>
        <w:pStyle w:val="FootnoteText"/>
        <w:jc w:val="both"/>
        <w:rPr>
          <w:rFonts w:cs="Times New Roman"/>
        </w:rPr>
      </w:pPr>
      <w:r w:rsidRPr="005E3083">
        <w:rPr>
          <w:rStyle w:val="FootnoteReference"/>
          <w:rFonts w:cs="Times New Roman"/>
        </w:rPr>
        <w:footnoteRef/>
      </w:r>
      <w:r w:rsidRPr="005E3083">
        <w:rPr>
          <w:rFonts w:cs="Times New Roman"/>
        </w:rPr>
        <w:t xml:space="preserve"> It is possible that the corporate behaviors called for by these efforts are </w:t>
      </w:r>
      <w:r>
        <w:rPr>
          <w:rFonts w:cs="Times New Roman"/>
        </w:rPr>
        <w:t xml:space="preserve">in fact share value decreasing </w:t>
      </w:r>
      <w:r w:rsidRPr="005E3083">
        <w:rPr>
          <w:rFonts w:cs="Times New Roman"/>
        </w:rPr>
        <w:t>despite the claims that they are</w:t>
      </w:r>
      <w:r>
        <w:rPr>
          <w:rFonts w:cs="Times New Roman"/>
        </w:rPr>
        <w:t xml:space="preserve"> share value enhancing. </w:t>
      </w:r>
      <w:r w:rsidRPr="005E3083">
        <w:rPr>
          <w:rFonts w:cs="Times New Roman"/>
        </w:rPr>
        <w:t>The proponents, in their enthusiasm, may have engaged in wishful thinking and overestimated the expected gains relative to the costs of their proposals</w:t>
      </w:r>
      <w:r>
        <w:rPr>
          <w:rFonts w:cs="Times New Roman"/>
        </w:rPr>
        <w:t xml:space="preserve">. </w:t>
      </w:r>
      <w:r w:rsidRPr="005E3083">
        <w:rPr>
          <w:rFonts w:cs="Times New Roman"/>
        </w:rPr>
        <w:t>Alternatively, a</w:t>
      </w:r>
      <w:r>
        <w:rPr>
          <w:rFonts w:cs="Times New Roman"/>
        </w:rPr>
        <w:t xml:space="preserve">nd more cynically, </w:t>
      </w:r>
      <w:r w:rsidRPr="005E3083">
        <w:rPr>
          <w:rFonts w:cs="Times New Roman"/>
        </w:rPr>
        <w:t xml:space="preserve">the proponents </w:t>
      </w:r>
      <w:r>
        <w:rPr>
          <w:rFonts w:cs="Times New Roman"/>
        </w:rPr>
        <w:t xml:space="preserve">may </w:t>
      </w:r>
      <w:r w:rsidRPr="005E3083">
        <w:rPr>
          <w:rFonts w:cs="Times New Roman"/>
        </w:rPr>
        <w:t xml:space="preserve">not </w:t>
      </w:r>
      <w:r>
        <w:rPr>
          <w:rFonts w:cs="Times New Roman"/>
        </w:rPr>
        <w:t xml:space="preserve">have </w:t>
      </w:r>
      <w:r w:rsidRPr="005E3083">
        <w:rPr>
          <w:rFonts w:cs="Times New Roman"/>
        </w:rPr>
        <w:t>sincerely believe</w:t>
      </w:r>
      <w:r>
        <w:rPr>
          <w:rFonts w:cs="Times New Roman"/>
        </w:rPr>
        <w:t>d</w:t>
      </w:r>
      <w:r w:rsidRPr="005E3083">
        <w:rPr>
          <w:rFonts w:cs="Times New Roman"/>
        </w:rPr>
        <w:t xml:space="preserve"> that their social aims can be accomplished without a </w:t>
      </w:r>
      <w:r>
        <w:rPr>
          <w:rFonts w:cs="Times New Roman"/>
        </w:rPr>
        <w:t>sacrifice</w:t>
      </w:r>
      <w:r w:rsidRPr="005E3083">
        <w:rPr>
          <w:rFonts w:cs="Times New Roman"/>
        </w:rPr>
        <w:t xml:space="preserve"> in terms of share value but claimed otherwise to encourage its adoption or</w:t>
      </w:r>
      <w:r>
        <w:rPr>
          <w:rFonts w:cs="Times New Roman"/>
        </w:rPr>
        <w:t>, should the proposal succeed,</w:t>
      </w:r>
      <w:r w:rsidRPr="005E3083">
        <w:rPr>
          <w:rFonts w:cs="Times New Roman"/>
        </w:rPr>
        <w:t xml:space="preserve"> to </w:t>
      </w:r>
      <w:r>
        <w:rPr>
          <w:rFonts w:cs="Times New Roman"/>
        </w:rPr>
        <w:t xml:space="preserve">protect it from legal challenge as a violation of the directors’ duty of care. </w:t>
      </w:r>
      <w:r w:rsidRPr="005E3083">
        <w:rPr>
          <w:rFonts w:cs="Times New Roman"/>
        </w:rPr>
        <w:t xml:space="preserve"> If </w:t>
      </w:r>
      <w:r>
        <w:rPr>
          <w:rFonts w:cs="Times New Roman"/>
        </w:rPr>
        <w:t xml:space="preserve">any </w:t>
      </w:r>
      <w:r w:rsidRPr="005E3083">
        <w:rPr>
          <w:rFonts w:cs="Times New Roman"/>
        </w:rPr>
        <w:t xml:space="preserve">of these </w:t>
      </w:r>
      <w:r>
        <w:rPr>
          <w:rFonts w:cs="Times New Roman"/>
        </w:rPr>
        <w:t xml:space="preserve">possibilities </w:t>
      </w:r>
      <w:r w:rsidRPr="005E3083">
        <w:rPr>
          <w:rFonts w:cs="Times New Roman"/>
        </w:rPr>
        <w:t>is the case, however, it would be impossible to say that any change in corporate behavior resulting from the</w:t>
      </w:r>
      <w:r>
        <w:rPr>
          <w:rFonts w:cs="Times New Roman"/>
        </w:rPr>
        <w:t xml:space="preserve"> proponents’ </w:t>
      </w:r>
      <w:r w:rsidRPr="005E3083">
        <w:rPr>
          <w:rFonts w:cs="Times New Roman"/>
        </w:rPr>
        <w:t xml:space="preserve">efforts reflects an informed preference by the body of the firm’s shareholders to sacrifice share value for some market-imperfection-correcting or distributional aim. </w:t>
      </w:r>
    </w:p>
  </w:footnote>
  <w:footnote w:id="38">
    <w:p w14:paraId="68BD97D2" w14:textId="21CE7FDE" w:rsidR="006F1644" w:rsidRDefault="006F1644">
      <w:pPr>
        <w:pStyle w:val="FootnoteText"/>
      </w:pPr>
      <w:r>
        <w:rPr>
          <w:rStyle w:val="FootnoteReference"/>
        </w:rPr>
        <w:footnoteRef/>
      </w:r>
      <w:r>
        <w:t xml:space="preserve"> </w:t>
      </w:r>
      <w:r w:rsidR="00C67135">
        <w:t xml:space="preserve">Consider the </w:t>
      </w:r>
      <w:r w:rsidR="00B74C9C">
        <w:t xml:space="preserve">following well-known example. In </w:t>
      </w:r>
      <w:r w:rsidRPr="005E3083">
        <w:rPr>
          <w:rFonts w:cs="Times New Roman"/>
        </w:rPr>
        <w:t>late 2020, the hedge fund Engine No. 1 acqui</w:t>
      </w:r>
      <w:r w:rsidR="00C67135">
        <w:rPr>
          <w:rFonts w:cs="Times New Roman"/>
        </w:rPr>
        <w:t xml:space="preserve">sition of </w:t>
      </w:r>
      <w:r w:rsidRPr="005E3083">
        <w:rPr>
          <w:rFonts w:cs="Times New Roman"/>
        </w:rPr>
        <w:t xml:space="preserve">a stake in Exxon Mobil and subsequently mounted a proxy fight to replace four members of Exxon Mobil’s board. </w:t>
      </w:r>
      <w:r w:rsidR="00C67135">
        <w:rPr>
          <w:rFonts w:cs="Times New Roman"/>
        </w:rPr>
        <w:t xml:space="preserve">This might appear to be a counterexample, but it is not. </w:t>
      </w:r>
      <w:r w:rsidRPr="005E3083">
        <w:rPr>
          <w:rFonts w:cs="Times New Roman"/>
        </w:rPr>
        <w:t xml:space="preserve">The </w:t>
      </w:r>
      <w:r w:rsidR="00C67135">
        <w:rPr>
          <w:rFonts w:cs="Times New Roman"/>
        </w:rPr>
        <w:t xml:space="preserve">stated </w:t>
      </w:r>
      <w:r w:rsidRPr="005E3083">
        <w:rPr>
          <w:rFonts w:cs="Times New Roman"/>
        </w:rPr>
        <w:t>objective of Engine No. 1’s proxy fight was to cause Exxon Mobil to take additional steps to lower the company’s greenhouse gas emissions. The fund’s articulated benefit of the desired corporate change was not purely to achieve environmental benefit but rather because the desired change would increase the company’s long term profitability</w:t>
      </w:r>
      <w:r>
        <w:rPr>
          <w:rFonts w:cs="Times New Roman"/>
        </w:rPr>
        <w:t xml:space="preserve"> by avoiding investments that would later become “stranded assets” as demand declined. </w:t>
      </w:r>
      <w:r w:rsidRPr="005E3083">
        <w:rPr>
          <w:rFonts w:cs="Times New Roman"/>
          <w:i/>
          <w:iCs/>
        </w:rPr>
        <w:t>See</w:t>
      </w:r>
      <w:r w:rsidRPr="005E3083">
        <w:rPr>
          <w:rFonts w:cs="Times New Roman"/>
        </w:rPr>
        <w:t xml:space="preserve"> Engine No. 1’s Letter to Exxon Mobile’s Board of Directors (Feb. 22, 2021), https://reenergizexom.com/materials/letter-to-the-board-of-directors-february-22.</w:t>
      </w:r>
    </w:p>
  </w:footnote>
  <w:footnote w:id="39">
    <w:p w14:paraId="337BBF53" w14:textId="25B9AD72" w:rsidR="006F1644" w:rsidRPr="005E3083" w:rsidRDefault="006F1644" w:rsidP="00975FEC">
      <w:pPr>
        <w:pStyle w:val="FootnoteText"/>
        <w:jc w:val="both"/>
        <w:rPr>
          <w:rFonts w:cs="Times New Roman"/>
        </w:rPr>
      </w:pPr>
      <w:r w:rsidRPr="005E3083">
        <w:rPr>
          <w:rStyle w:val="FootnoteReference"/>
          <w:rFonts w:cs="Times New Roman"/>
        </w:rPr>
        <w:footnoteRef/>
      </w:r>
      <w:r w:rsidRPr="005E3083">
        <w:rPr>
          <w:rFonts w:cs="Times New Roman"/>
        </w:rPr>
        <w:t xml:space="preserve"> It is a matter of scholarly debate whether there are many opportunities for shareholder pressure to nudge managers toward a “win-win” change that is both pro-social and share-value enhancing</w:t>
      </w:r>
      <w:r>
        <w:rPr>
          <w:rFonts w:cs="Times New Roman"/>
        </w:rPr>
        <w:t xml:space="preserve">. </w:t>
      </w:r>
      <w:r w:rsidRPr="005E3083">
        <w:rPr>
          <w:rFonts w:cs="Times New Roman"/>
        </w:rPr>
        <w:t xml:space="preserve">On one side, Alex Edmans, for example, has recently published a book aimed at teaching managers ways they could increase share value by doing socially useful things. </w:t>
      </w:r>
      <w:r w:rsidRPr="005E3083">
        <w:rPr>
          <w:rFonts w:cs="Times New Roman"/>
          <w:i/>
          <w:iCs/>
        </w:rPr>
        <w:t xml:space="preserve">See </w:t>
      </w:r>
      <w:r w:rsidRPr="005E3083">
        <w:rPr>
          <w:rFonts w:cs="Times New Roman"/>
          <w:smallCaps/>
        </w:rPr>
        <w:t>Alex Edmans, Grow the Pie: How Great Companies Deliver Both Purpose and Profit</w:t>
      </w:r>
      <w:r w:rsidRPr="005E3083">
        <w:rPr>
          <w:rFonts w:cs="Times New Roman"/>
        </w:rPr>
        <w:t xml:space="preserve"> (2020). Ryan Bubb and Robert Bartlett take a similar position. They note that such “win-win” initiatives often involve increased costs in the short run that are more than compensated for in the longer run. They suggest that the market has an easier time </w:t>
      </w:r>
      <w:r>
        <w:rPr>
          <w:rFonts w:cs="Times New Roman"/>
        </w:rPr>
        <w:t>apprehending</w:t>
      </w:r>
      <w:r w:rsidRPr="005E3083">
        <w:rPr>
          <w:rFonts w:cs="Times New Roman"/>
        </w:rPr>
        <w:t xml:space="preserve"> the near-term increased costs than appreciating the longer term benefits, meaning that its share price’s initial reaction to undertaking such an initiative will be negative</w:t>
      </w:r>
      <w:r>
        <w:rPr>
          <w:rFonts w:cs="Times New Roman"/>
        </w:rPr>
        <w:t xml:space="preserve">. </w:t>
      </w:r>
      <w:r w:rsidRPr="005E3083">
        <w:rPr>
          <w:rFonts w:cs="Times New Roman"/>
        </w:rPr>
        <w:t xml:space="preserve">They argue that managers should thus engage in “enlightened” share value maximization rather than focusing so much on current share price. </w:t>
      </w:r>
      <w:r w:rsidRPr="000F51F5">
        <w:rPr>
          <w:rFonts w:cs="Times New Roman"/>
          <w:i/>
          <w:iCs/>
        </w:rPr>
        <w:t>See</w:t>
      </w:r>
      <w:r w:rsidRPr="005E3083">
        <w:rPr>
          <w:rFonts w:cs="Times New Roman"/>
        </w:rPr>
        <w:t xml:space="preserve"> Robert P. Bartlett </w:t>
      </w:r>
      <w:r>
        <w:rPr>
          <w:rFonts w:cs="Times New Roman"/>
        </w:rPr>
        <w:t>&amp;</w:t>
      </w:r>
      <w:r w:rsidRPr="005E3083">
        <w:rPr>
          <w:rFonts w:cs="Times New Roman"/>
        </w:rPr>
        <w:t xml:space="preserve"> Ryan Bubb, Corporate Social Responsibility through Shareholder Governance, </w:t>
      </w:r>
      <w:r w:rsidRPr="00624515">
        <w:rPr>
          <w:rFonts w:cs="Times New Roman"/>
          <w:color w:val="313539"/>
          <w:shd w:val="clear" w:color="auto" w:fill="FFFFFF"/>
        </w:rPr>
        <w:t xml:space="preserve">97 </w:t>
      </w:r>
      <w:r w:rsidRPr="00624515">
        <w:rPr>
          <w:rFonts w:cs="Times New Roman"/>
          <w:smallCaps/>
          <w:color w:val="313539"/>
          <w:shd w:val="clear" w:color="auto" w:fill="FFFFFF"/>
        </w:rPr>
        <w:t>S. Cal. L. Rev.</w:t>
      </w:r>
      <w:r w:rsidRPr="00624515">
        <w:rPr>
          <w:rFonts w:cs="Times New Roman"/>
          <w:color w:val="313539"/>
          <w:shd w:val="clear" w:color="auto" w:fill="FFFFFF"/>
        </w:rPr>
        <w:t xml:space="preserve"> 417</w:t>
      </w:r>
      <w:r>
        <w:rPr>
          <w:rFonts w:cs="Times New Roman"/>
          <w:color w:val="313539"/>
          <w:shd w:val="clear" w:color="auto" w:fill="FFFFFF"/>
        </w:rPr>
        <w:t xml:space="preserve">, 458-59 </w:t>
      </w:r>
      <w:r w:rsidRPr="005E3083">
        <w:rPr>
          <w:rFonts w:cs="Times New Roman"/>
        </w:rPr>
        <w:t>(202</w:t>
      </w:r>
      <w:r>
        <w:rPr>
          <w:rFonts w:cs="Times New Roman"/>
        </w:rPr>
        <w:t>4).</w:t>
      </w:r>
      <w:r w:rsidR="00F273F6">
        <w:rPr>
          <w:rFonts w:cs="Times New Roman"/>
        </w:rPr>
        <w:t xml:space="preserve"> </w:t>
      </w:r>
      <w:r w:rsidR="00F273F6" w:rsidRPr="00000FA4">
        <w:rPr>
          <w:i/>
          <w:iCs/>
        </w:rPr>
        <w:t>See also</w:t>
      </w:r>
      <w:r w:rsidR="00F273F6">
        <w:t xml:space="preserve"> note </w:t>
      </w:r>
      <w:r w:rsidR="00F273F6">
        <w:rPr>
          <w:highlight w:val="yellow"/>
        </w:rPr>
        <w:fldChar w:fldCharType="begin"/>
      </w:r>
      <w:r w:rsidR="00F273F6">
        <w:instrText xml:space="preserve"> NOTEREF _Ref180754404 \h </w:instrText>
      </w:r>
      <w:r w:rsidR="00F273F6">
        <w:rPr>
          <w:highlight w:val="yellow"/>
        </w:rPr>
      </w:r>
      <w:r w:rsidR="00F273F6">
        <w:rPr>
          <w:highlight w:val="yellow"/>
        </w:rPr>
        <w:fldChar w:fldCharType="separate"/>
      </w:r>
      <w:r w:rsidR="005B5BC3">
        <w:t>128</w:t>
      </w:r>
      <w:r w:rsidR="00F273F6">
        <w:rPr>
          <w:highlight w:val="yellow"/>
        </w:rPr>
        <w:fldChar w:fldCharType="end"/>
      </w:r>
      <w:r w:rsidR="00F273F6">
        <w:t xml:space="preserve"> </w:t>
      </w:r>
      <w:r w:rsidR="00F273F6" w:rsidRPr="00000FA4">
        <w:rPr>
          <w:i/>
          <w:iCs/>
        </w:rPr>
        <w:t>infra</w:t>
      </w:r>
      <w:r w:rsidR="00F273F6">
        <w:rPr>
          <w:i/>
          <w:iCs/>
        </w:rPr>
        <w:t>.</w:t>
      </w:r>
      <w:r>
        <w:rPr>
          <w:rFonts w:cs="Times New Roman"/>
        </w:rPr>
        <w:t xml:space="preserve"> O</w:t>
      </w:r>
      <w:r w:rsidRPr="005E3083">
        <w:rPr>
          <w:rFonts w:cs="Times New Roman"/>
        </w:rPr>
        <w:t xml:space="preserve">ther </w:t>
      </w:r>
      <w:r>
        <w:rPr>
          <w:rFonts w:cs="Times New Roman"/>
        </w:rPr>
        <w:t xml:space="preserve">leading </w:t>
      </w:r>
      <w:r w:rsidRPr="005E3083">
        <w:rPr>
          <w:rFonts w:cs="Times New Roman"/>
        </w:rPr>
        <w:t>scholar</w:t>
      </w:r>
      <w:r>
        <w:rPr>
          <w:rFonts w:cs="Times New Roman"/>
        </w:rPr>
        <w:t>s, however,</w:t>
      </w:r>
      <w:r w:rsidRPr="005E3083">
        <w:rPr>
          <w:rFonts w:cs="Times New Roman"/>
        </w:rPr>
        <w:t xml:space="preserve"> are skeptical that firms frequently </w:t>
      </w:r>
      <w:r>
        <w:rPr>
          <w:rFonts w:cs="Times New Roman"/>
        </w:rPr>
        <w:t xml:space="preserve">engage in such </w:t>
      </w:r>
      <w:r w:rsidRPr="005E3083">
        <w:rPr>
          <w:rFonts w:cs="Times New Roman"/>
        </w:rPr>
        <w:t xml:space="preserve">“short-termism.” </w:t>
      </w:r>
      <w:r w:rsidRPr="005E3083">
        <w:rPr>
          <w:rFonts w:cs="Times New Roman"/>
          <w:i/>
          <w:iCs/>
        </w:rPr>
        <w:t>See, e.g.</w:t>
      </w:r>
      <w:r w:rsidRPr="005E3083">
        <w:rPr>
          <w:rFonts w:cs="Times New Roman"/>
        </w:rPr>
        <w:t xml:space="preserve">, Mark J. Roe, </w:t>
      </w:r>
      <w:r w:rsidRPr="005E3083">
        <w:rPr>
          <w:rFonts w:cs="Times New Roman"/>
          <w:i/>
          <w:iCs/>
        </w:rPr>
        <w:t>Corporate Short-Termism—In the Boardroom and in the Courtroom</w:t>
      </w:r>
      <w:r w:rsidRPr="005E3083">
        <w:rPr>
          <w:rFonts w:cs="Times New Roman"/>
        </w:rPr>
        <w:t xml:space="preserve">, 68 </w:t>
      </w:r>
      <w:r w:rsidRPr="005E3083">
        <w:rPr>
          <w:rFonts w:cs="Times New Roman"/>
          <w:smallCaps/>
        </w:rPr>
        <w:t>Bus. Law.</w:t>
      </w:r>
      <w:r w:rsidRPr="005E3083">
        <w:rPr>
          <w:rFonts w:cs="Times New Roman"/>
        </w:rPr>
        <w:t xml:space="preserve"> 977 (2013); Lucian A. Bebchuk, Alon Brav &amp; Wei Jiang, </w:t>
      </w:r>
      <w:r w:rsidRPr="005E3083">
        <w:rPr>
          <w:rFonts w:cs="Times New Roman"/>
          <w:i/>
          <w:iCs/>
        </w:rPr>
        <w:t>The Long-Term Effects of Hedge Funds Activism</w:t>
      </w:r>
      <w:r w:rsidRPr="005E3083">
        <w:rPr>
          <w:rFonts w:cs="Times New Roman"/>
        </w:rPr>
        <w:t xml:space="preserve">, 115 </w:t>
      </w:r>
      <w:r w:rsidRPr="005E3083">
        <w:rPr>
          <w:rFonts w:cs="Times New Roman"/>
          <w:smallCaps/>
        </w:rPr>
        <w:t>Colum. L. Rev.</w:t>
      </w:r>
      <w:r w:rsidRPr="005E3083">
        <w:rPr>
          <w:rFonts w:cs="Times New Roman"/>
        </w:rPr>
        <w:t xml:space="preserve"> 1085 (2015)</w:t>
      </w:r>
      <w:r>
        <w:rPr>
          <w:rFonts w:cs="Times New Roman"/>
        </w:rPr>
        <w:t xml:space="preserve">. </w:t>
      </w:r>
    </w:p>
  </w:footnote>
  <w:footnote w:id="40">
    <w:p w14:paraId="2D67A8CC" w14:textId="0C583384" w:rsidR="006F1644" w:rsidRPr="005E3083" w:rsidRDefault="006F1644" w:rsidP="00975FEC">
      <w:pPr>
        <w:pStyle w:val="FootnoteText"/>
        <w:jc w:val="both"/>
        <w:rPr>
          <w:rFonts w:cs="Times New Roman"/>
        </w:rPr>
      </w:pPr>
      <w:r w:rsidRPr="005E3083">
        <w:rPr>
          <w:rStyle w:val="FootnoteReference"/>
          <w:rFonts w:cs="Times New Roman"/>
        </w:rPr>
        <w:footnoteRef/>
      </w:r>
      <w:r w:rsidRPr="005E3083">
        <w:rPr>
          <w:rFonts w:cs="Times New Roman"/>
        </w:rPr>
        <w:t xml:space="preserve"> One piece of evidence that equity investors are willing to accept lower returns as the cost of the corporation reducing </w:t>
      </w:r>
      <w:r>
        <w:rPr>
          <w:rFonts w:cs="Times New Roman"/>
        </w:rPr>
        <w:t xml:space="preserve">some </w:t>
      </w:r>
      <w:r w:rsidRPr="005E3083">
        <w:rPr>
          <w:rFonts w:cs="Times New Roman"/>
        </w:rPr>
        <w:t xml:space="preserve">negative externalities is an empirical study suggesting that privately held firms pollute less than comparable publicly held ones. </w:t>
      </w:r>
      <w:r w:rsidRPr="005E3083">
        <w:rPr>
          <w:rFonts w:cs="Times New Roman"/>
          <w:i/>
          <w:iCs/>
        </w:rPr>
        <w:t>See</w:t>
      </w:r>
      <w:r w:rsidRPr="005E3083">
        <w:rPr>
          <w:rFonts w:cs="Times New Roman"/>
        </w:rPr>
        <w:t xml:space="preserve"> Sophie A. Shive &amp; Margaret M. Forster, </w:t>
      </w:r>
      <w:r w:rsidRPr="006A40F1">
        <w:rPr>
          <w:rFonts w:cs="Times New Roman"/>
          <w:i/>
        </w:rPr>
        <w:t>Corporate Governance and Pollution Externalities of Public and Private Firms</w:t>
      </w:r>
      <w:r w:rsidRPr="005E3083">
        <w:rPr>
          <w:rFonts w:cs="Times New Roman"/>
        </w:rPr>
        <w:t xml:space="preserve">, 33 </w:t>
      </w:r>
      <w:r w:rsidRPr="005E3083">
        <w:rPr>
          <w:rFonts w:cs="Times New Roman"/>
          <w:smallCaps/>
        </w:rPr>
        <w:t>Rev. Fin. Stud.</w:t>
      </w:r>
      <w:r w:rsidRPr="005E3083">
        <w:rPr>
          <w:rFonts w:cs="Times New Roman"/>
        </w:rPr>
        <w:t xml:space="preserve"> 1296 (2020). </w:t>
      </w:r>
      <w:r>
        <w:rPr>
          <w:rFonts w:cs="Times New Roman"/>
        </w:rPr>
        <w:t xml:space="preserve">This may suggest that if a portfolio investor was as well informed a control investor is likely to be about the negative effects arising from share value maximizing behavior and the costs of avoiding them, she too would favor this lower level of pollution despite the cost to her. </w:t>
      </w:r>
      <w:r w:rsidRPr="005E3083">
        <w:rPr>
          <w:rFonts w:cs="Times New Roman"/>
        </w:rPr>
        <w:t>However,</w:t>
      </w:r>
      <w:r>
        <w:rPr>
          <w:rFonts w:cs="Times New Roman"/>
        </w:rPr>
        <w:t xml:space="preserve"> the implications of this finding for portfolio investors in public corporations is unclear, because there is a confounding factor: for a person h</w:t>
      </w:r>
      <w:r w:rsidRPr="005E3083">
        <w:rPr>
          <w:rFonts w:cs="Times New Roman"/>
        </w:rPr>
        <w:t xml:space="preserve">olding a </w:t>
      </w:r>
      <w:r>
        <w:rPr>
          <w:rFonts w:cs="Times New Roman"/>
        </w:rPr>
        <w:t xml:space="preserve">control </w:t>
      </w:r>
      <w:r w:rsidRPr="005E3083">
        <w:rPr>
          <w:rFonts w:cs="Times New Roman"/>
        </w:rPr>
        <w:t xml:space="preserve">block of </w:t>
      </w:r>
      <w:r>
        <w:rPr>
          <w:rFonts w:cs="Times New Roman"/>
        </w:rPr>
        <w:t xml:space="preserve">a private corporation’s </w:t>
      </w:r>
      <w:r w:rsidRPr="005E3083">
        <w:rPr>
          <w:rFonts w:cs="Times New Roman"/>
        </w:rPr>
        <w:t>shares</w:t>
      </w:r>
      <w:r>
        <w:rPr>
          <w:rFonts w:cs="Times New Roman"/>
        </w:rPr>
        <w:t>, the corporation is likely to be much more part of the shareholder’s identity and so she is likely to be more concerned about any damage to society caused by the corporation.</w:t>
      </w:r>
      <w:r w:rsidRPr="005E3083">
        <w:rPr>
          <w:rFonts w:cs="Times New Roman"/>
        </w:rPr>
        <w:t xml:space="preserve"> </w:t>
      </w:r>
    </w:p>
  </w:footnote>
  <w:footnote w:id="41">
    <w:p w14:paraId="7CC3652F" w14:textId="2EBA3841" w:rsidR="006F1644" w:rsidRPr="005E3083" w:rsidRDefault="006F1644" w:rsidP="00975FEC">
      <w:pPr>
        <w:pStyle w:val="FootnoteText"/>
        <w:jc w:val="both"/>
        <w:rPr>
          <w:rFonts w:cs="Times New Roman"/>
        </w:rPr>
      </w:pPr>
      <w:r w:rsidRPr="005E3083">
        <w:rPr>
          <w:rStyle w:val="FootnoteReference"/>
          <w:rFonts w:cs="Times New Roman"/>
        </w:rPr>
        <w:footnoteRef/>
      </w:r>
      <w:r w:rsidRPr="005E3083">
        <w:rPr>
          <w:rFonts w:cs="Times New Roman"/>
        </w:rPr>
        <w:t xml:space="preserve"> Einer Elhauge suggests that when an individual’s equity interests in a firm are indirect through a fund, she is even more insulated from the social consequences of its actions than where she made the decision on her own to acquire the interest through directly owning the shares as part of her portfolio. </w:t>
      </w:r>
      <w:r w:rsidRPr="005E3083">
        <w:rPr>
          <w:rFonts w:cs="Times New Roman"/>
          <w:i/>
          <w:iCs/>
        </w:rPr>
        <w:t>See</w:t>
      </w:r>
      <w:r w:rsidRPr="005E3083">
        <w:rPr>
          <w:rFonts w:cs="Times New Roman"/>
        </w:rPr>
        <w:t xml:space="preserve"> Einer Elhauge, </w:t>
      </w:r>
      <w:r w:rsidRPr="005E3083">
        <w:rPr>
          <w:rFonts w:cs="Times New Roman"/>
          <w:i/>
          <w:iCs/>
        </w:rPr>
        <w:t>Sacrificing Corporate Profits in the Public Interest</w:t>
      </w:r>
      <w:r w:rsidRPr="005E3083">
        <w:rPr>
          <w:rFonts w:cs="Times New Roman"/>
        </w:rPr>
        <w:t xml:space="preserve">, 80 </w:t>
      </w:r>
      <w:r w:rsidRPr="005E3083">
        <w:rPr>
          <w:rFonts w:cs="Times New Roman"/>
          <w:smallCaps/>
        </w:rPr>
        <w:t>N.Y.U. L. Rev.</w:t>
      </w:r>
      <w:r w:rsidRPr="005E3083">
        <w:rPr>
          <w:rFonts w:cs="Times New Roman"/>
        </w:rPr>
        <w:t xml:space="preserve"> 733, 817 (2005). This observation seems correct along multiple dimensions. First, if she is the person making the decision to acquire shares directly for herself, she presumably has done so based on some kind of knowledge concerning the issuer, at least where it was motivated at least partially by speculation</w:t>
      </w:r>
      <w:r>
        <w:rPr>
          <w:rFonts w:cs="Times New Roman"/>
        </w:rPr>
        <w:t xml:space="preserve">. </w:t>
      </w:r>
      <w:r w:rsidRPr="005E3083">
        <w:rPr>
          <w:rFonts w:cs="Times New Roman"/>
        </w:rPr>
        <w:t>If she acquires her equity interest through a fund, that is absent</w:t>
      </w:r>
      <w:r>
        <w:rPr>
          <w:rFonts w:cs="Times New Roman"/>
        </w:rPr>
        <w:t xml:space="preserve">. </w:t>
      </w:r>
      <w:r w:rsidRPr="005E3083">
        <w:rPr>
          <w:rFonts w:cs="Times New Roman"/>
        </w:rPr>
        <w:t xml:space="preserve">Second, where her equity interest was acquired through a fund, she is </w:t>
      </w:r>
      <w:r>
        <w:rPr>
          <w:rFonts w:cs="Times New Roman"/>
        </w:rPr>
        <w:t xml:space="preserve">that much </w:t>
      </w:r>
      <w:r w:rsidRPr="005E3083">
        <w:rPr>
          <w:rFonts w:cs="Times New Roman"/>
        </w:rPr>
        <w:t>less likely to feel an</w:t>
      </w:r>
      <w:r>
        <w:rPr>
          <w:rFonts w:cs="Times New Roman"/>
        </w:rPr>
        <w:t>y sense of</w:t>
      </w:r>
      <w:r w:rsidRPr="005E3083">
        <w:rPr>
          <w:rFonts w:cs="Times New Roman"/>
        </w:rPr>
        <w:t xml:space="preserve"> identi</w:t>
      </w:r>
      <w:r>
        <w:rPr>
          <w:rFonts w:cs="Times New Roman"/>
        </w:rPr>
        <w:t>t</w:t>
      </w:r>
      <w:r w:rsidRPr="005E3083">
        <w:rPr>
          <w:rFonts w:cs="Times New Roman"/>
        </w:rPr>
        <w:t xml:space="preserve">y with the firm and hence somehow responsible for its actions. </w:t>
      </w:r>
    </w:p>
  </w:footnote>
  <w:footnote w:id="42">
    <w:p w14:paraId="6F0DBC6D" w14:textId="27F5F0B5" w:rsidR="006F1644" w:rsidRPr="00856A34" w:rsidRDefault="006F1644" w:rsidP="00D94AA8">
      <w:pPr>
        <w:pStyle w:val="FootnoteText"/>
        <w:jc w:val="both"/>
        <w:rPr>
          <w:rFonts w:cs="Times New Roman"/>
        </w:rPr>
      </w:pPr>
      <w:r w:rsidRPr="005E3083">
        <w:rPr>
          <w:rStyle w:val="FootnoteReference"/>
          <w:rFonts w:cs="Times New Roman"/>
        </w:rPr>
        <w:footnoteRef/>
      </w:r>
      <w:r w:rsidRPr="005E3083">
        <w:rPr>
          <w:rFonts w:cs="Times New Roman"/>
        </w:rPr>
        <w:t xml:space="preserve"> It has been long recognized that incurring the costs of becoming informed to monitor whether management is acting to maximize share value involves a collective action problem</w:t>
      </w:r>
      <w:r>
        <w:rPr>
          <w:rFonts w:cs="Times New Roman"/>
        </w:rPr>
        <w:t xml:space="preserve">. </w:t>
      </w:r>
      <w:r w:rsidRPr="005E3083">
        <w:rPr>
          <w:rFonts w:cs="Times New Roman"/>
        </w:rPr>
        <w:t>Unless one owns 100% of the shares, one will not fully collect on the rewards from the effort</w:t>
      </w:r>
      <w:r>
        <w:rPr>
          <w:rFonts w:cs="Times New Roman"/>
        </w:rPr>
        <w:t xml:space="preserve">. </w:t>
      </w:r>
      <w:r w:rsidRPr="005E3083">
        <w:rPr>
          <w:rFonts w:cs="Times New Roman"/>
        </w:rPr>
        <w:t xml:space="preserve">Moreover, even if one incurred the cost to become well informed and that effort revealed that management was not maximizing share value, if one only owns a small portion of the firm’s equity, it is unlikely one’s vote to change management will be determinative. </w:t>
      </w:r>
      <w:r>
        <w:rPr>
          <w:rFonts w:cs="Times New Roman"/>
        </w:rPr>
        <w:t xml:space="preserve">Change would only occur if the holders of a majority of the shares acted similarly. </w:t>
      </w:r>
      <w:r w:rsidRPr="008F7038">
        <w:rPr>
          <w:rFonts w:cs="Times New Roman"/>
          <w:i/>
          <w:iCs/>
        </w:rPr>
        <w:t>See</w:t>
      </w:r>
      <w:r>
        <w:rPr>
          <w:rFonts w:cs="Times New Roman"/>
        </w:rPr>
        <w:t xml:space="preserve"> </w:t>
      </w:r>
      <w:r w:rsidRPr="005E3083">
        <w:rPr>
          <w:rFonts w:cs="Times New Roman"/>
        </w:rPr>
        <w:t xml:space="preserve">Easterbrook &amp; Fischel, </w:t>
      </w:r>
      <w:r w:rsidRPr="008F7038">
        <w:rPr>
          <w:rFonts w:cs="Times New Roman"/>
          <w:i/>
          <w:iCs/>
        </w:rPr>
        <w:t xml:space="preserve">supra </w:t>
      </w:r>
      <w:r>
        <w:rPr>
          <w:rFonts w:cs="Times New Roman"/>
        </w:rPr>
        <w:t xml:space="preserve">note </w:t>
      </w:r>
      <w:r>
        <w:rPr>
          <w:rFonts w:cs="Times New Roman"/>
        </w:rPr>
        <w:fldChar w:fldCharType="begin"/>
      </w:r>
      <w:r>
        <w:rPr>
          <w:rFonts w:cs="Times New Roman"/>
        </w:rPr>
        <w:instrText xml:space="preserve"> NOTEREF _Ref178624690 \h </w:instrText>
      </w:r>
      <w:r>
        <w:rPr>
          <w:rFonts w:cs="Times New Roman"/>
        </w:rPr>
      </w:r>
      <w:r>
        <w:rPr>
          <w:rFonts w:cs="Times New Roman"/>
        </w:rPr>
        <w:fldChar w:fldCharType="separate"/>
      </w:r>
      <w:r w:rsidR="005B5BC3">
        <w:rPr>
          <w:rFonts w:cs="Times New Roman"/>
        </w:rPr>
        <w:t>14</w:t>
      </w:r>
      <w:r>
        <w:rPr>
          <w:rFonts w:cs="Times New Roman"/>
        </w:rPr>
        <w:fldChar w:fldCharType="end"/>
      </w:r>
      <w:r>
        <w:rPr>
          <w:rFonts w:cs="Times New Roman"/>
        </w:rPr>
        <w:t xml:space="preserve">, at 395-98. </w:t>
      </w:r>
      <w:r w:rsidRPr="005E3083">
        <w:rPr>
          <w:rFonts w:cs="Times New Roman"/>
          <w:b/>
        </w:rPr>
        <w:t xml:space="preserve"> </w:t>
      </w:r>
      <w:r>
        <w:rPr>
          <w:rFonts w:cs="Times New Roman"/>
        </w:rPr>
        <w:t xml:space="preserve">There is ample evidence that ordinary retail investors are apathetic when it comes to voting on ordinary matters. </w:t>
      </w:r>
      <w:r w:rsidRPr="00263B0F">
        <w:rPr>
          <w:i/>
          <w:iCs/>
        </w:rPr>
        <w:t>See, e.g.</w:t>
      </w:r>
      <w:r w:rsidRPr="006F0D25">
        <w:t>,</w:t>
      </w:r>
      <w:r w:rsidRPr="00263B0F">
        <w:t xml:space="preserve"> Kobi Kastiel &amp; Yaron </w:t>
      </w:r>
      <w:r w:rsidRPr="00856A34">
        <w:rPr>
          <w:rFonts w:cs="Times New Roman"/>
        </w:rPr>
        <w:t xml:space="preserve">Nili, </w:t>
      </w:r>
      <w:r w:rsidRPr="00856A34">
        <w:rPr>
          <w:rFonts w:cs="Times New Roman"/>
          <w:i/>
          <w:iCs/>
        </w:rPr>
        <w:t>In Search of the “Absent” Shareholders: A New Solution to Retail Investors’ Apathy</w:t>
      </w:r>
      <w:r w:rsidRPr="00856A34">
        <w:rPr>
          <w:rFonts w:cs="Times New Roman"/>
        </w:rPr>
        <w:t xml:space="preserve">, 41 </w:t>
      </w:r>
      <w:r w:rsidRPr="00856A34">
        <w:rPr>
          <w:rFonts w:cs="Times New Roman"/>
          <w:smallCaps/>
        </w:rPr>
        <w:t>Del. J. Corp. L.</w:t>
      </w:r>
      <w:r w:rsidRPr="00856A34">
        <w:rPr>
          <w:rFonts w:cs="Times New Roman"/>
        </w:rPr>
        <w:t xml:space="preserve"> 55, 61-66 (2016) (providing data).</w:t>
      </w:r>
    </w:p>
  </w:footnote>
  <w:footnote w:id="43">
    <w:p w14:paraId="7D028147" w14:textId="77777777" w:rsidR="006F1644" w:rsidRPr="00856A34" w:rsidRDefault="006F1644" w:rsidP="00975FEC">
      <w:pPr>
        <w:pStyle w:val="FootnoteText"/>
        <w:jc w:val="both"/>
        <w:rPr>
          <w:rFonts w:cs="Times New Roman"/>
          <w:i/>
        </w:rPr>
      </w:pPr>
      <w:r w:rsidRPr="00856A34">
        <w:rPr>
          <w:rStyle w:val="FootnoteReference"/>
          <w:rFonts w:cs="Times New Roman"/>
        </w:rPr>
        <w:footnoteRef/>
      </w:r>
      <w:r w:rsidRPr="00856A34">
        <w:rPr>
          <w:rFonts w:cs="Times New Roman"/>
        </w:rPr>
        <w:t xml:space="preserve"> For a discussion of how, if at all, social considerations are relevant to an investor’s decision to acquire an equity interest in a firm, see Part III </w:t>
      </w:r>
      <w:r w:rsidRPr="00856A34">
        <w:rPr>
          <w:rFonts w:cs="Times New Roman"/>
          <w:i/>
        </w:rPr>
        <w:t>infra.</w:t>
      </w:r>
    </w:p>
  </w:footnote>
  <w:footnote w:id="44">
    <w:p w14:paraId="63019D68" w14:textId="65CBADB5" w:rsidR="006F1644" w:rsidRPr="006A40F1" w:rsidRDefault="006F1644" w:rsidP="00451AA4">
      <w:pPr>
        <w:spacing w:after="0" w:line="240" w:lineRule="auto"/>
        <w:rPr>
          <w:rFonts w:ascii="Times New Roman" w:hAnsi="Times New Roman" w:cs="Times New Roman"/>
        </w:rPr>
      </w:pPr>
      <w:r w:rsidRPr="00856A34">
        <w:rPr>
          <w:rStyle w:val="FootnoteReference"/>
          <w:rFonts w:ascii="Times New Roman" w:hAnsi="Times New Roman" w:cs="Times New Roman"/>
          <w:sz w:val="20"/>
          <w:szCs w:val="20"/>
        </w:rPr>
        <w:footnoteRef/>
      </w:r>
      <w:r w:rsidRPr="00856A34">
        <w:rPr>
          <w:rFonts w:ascii="Times New Roman" w:hAnsi="Times New Roman" w:cs="Times New Roman"/>
          <w:kern w:val="0"/>
          <w:sz w:val="20"/>
          <w:szCs w:val="20"/>
          <w:lang w:val="en-CA"/>
        </w:rPr>
        <w:t xml:space="preserve"> </w:t>
      </w:r>
      <w:r w:rsidRPr="00856A34">
        <w:rPr>
          <w:rFonts w:ascii="Times New Roman" w:hAnsi="Times New Roman" w:cs="Times New Roman"/>
          <w:i/>
          <w:iCs/>
          <w:kern w:val="0"/>
          <w:sz w:val="20"/>
          <w:szCs w:val="20"/>
        </w:rPr>
        <w:t>See, e.g.</w:t>
      </w:r>
      <w:r w:rsidRPr="00856A34">
        <w:rPr>
          <w:rFonts w:ascii="Times New Roman" w:hAnsi="Times New Roman" w:cs="Times New Roman"/>
          <w:kern w:val="0"/>
          <w:sz w:val="20"/>
          <w:szCs w:val="20"/>
        </w:rPr>
        <w:t xml:space="preserve">, Oliver Hart </w:t>
      </w:r>
      <w:r w:rsidRPr="00D771A0">
        <w:rPr>
          <w:rFonts w:ascii="Times New Roman" w:hAnsi="Times New Roman" w:cs="Times New Roman"/>
          <w:kern w:val="0"/>
          <w:sz w:val="20"/>
          <w:szCs w:val="20"/>
        </w:rPr>
        <w:t xml:space="preserve">&amp; Luigi Zingales, </w:t>
      </w:r>
      <w:r w:rsidRPr="00D771A0">
        <w:rPr>
          <w:rFonts w:ascii="Times New Roman" w:hAnsi="Times New Roman" w:cs="Times New Roman"/>
          <w:i/>
          <w:iCs/>
          <w:kern w:val="0"/>
          <w:sz w:val="20"/>
          <w:szCs w:val="20"/>
        </w:rPr>
        <w:t xml:space="preserve">Companies Should Maximize Shareholder Welfare Not Market </w:t>
      </w:r>
      <w:r w:rsidRPr="00D771A0">
        <w:rPr>
          <w:rFonts w:ascii="Times New Roman" w:hAnsi="Times New Roman" w:cs="Times New Roman"/>
          <w:i/>
          <w:iCs/>
          <w:sz w:val="20"/>
          <w:szCs w:val="20"/>
        </w:rPr>
        <w:t>Value</w:t>
      </w:r>
      <w:r w:rsidRPr="00D771A0">
        <w:rPr>
          <w:rFonts w:ascii="Times New Roman" w:eastAsia="TimesNewRomanPSMT" w:hAnsi="Times New Roman" w:cs="Times New Roman"/>
          <w:sz w:val="20"/>
          <w:szCs w:val="20"/>
          <w:lang w:val="ja-JP"/>
        </w:rPr>
        <w:t>,</w:t>
      </w:r>
      <w:r w:rsidRPr="00D771A0">
        <w:rPr>
          <w:rFonts w:ascii="Times New Roman" w:eastAsia="TimesNewRomanPSMT" w:hAnsi="Times New Roman" w:cs="Times New Roman"/>
          <w:sz w:val="20"/>
          <w:szCs w:val="20"/>
        </w:rPr>
        <w:t xml:space="preserve"> </w:t>
      </w:r>
      <w:r w:rsidRPr="00D771A0">
        <w:rPr>
          <w:rFonts w:ascii="Times New Roman" w:eastAsia="TimesNewRomanPSMT" w:hAnsi="Times New Roman" w:cs="Times New Roman"/>
          <w:sz w:val="20"/>
          <w:szCs w:val="20"/>
          <w:lang w:val="ja-JP"/>
        </w:rPr>
        <w:t xml:space="preserve">2 </w:t>
      </w:r>
      <w:r w:rsidRPr="00D771A0">
        <w:rPr>
          <w:rFonts w:ascii="Times New Roman" w:eastAsia="TimesNewRomanPSMT" w:hAnsi="Times New Roman" w:cs="Times New Roman"/>
          <w:smallCaps/>
          <w:sz w:val="20"/>
          <w:szCs w:val="20"/>
        </w:rPr>
        <w:t>J.</w:t>
      </w:r>
      <w:r w:rsidRPr="000B1548">
        <w:rPr>
          <w:rFonts w:ascii="Times New Roman" w:eastAsia="TimesNewRomanPSMT" w:hAnsi="Times New Roman" w:cs="Times New Roman"/>
          <w:smallCaps/>
          <w:sz w:val="20"/>
          <w:szCs w:val="20"/>
        </w:rPr>
        <w:t xml:space="preserve"> L. Fin. &amp; A</w:t>
      </w:r>
      <w:r w:rsidRPr="004B1868">
        <w:rPr>
          <w:rFonts w:ascii="Times New Roman" w:eastAsia="TimesNewRomanPSMT" w:hAnsi="Times New Roman" w:cs="Times New Roman"/>
          <w:smallCaps/>
          <w:sz w:val="20"/>
          <w:szCs w:val="20"/>
        </w:rPr>
        <w:t>cct.</w:t>
      </w:r>
      <w:r w:rsidRPr="004B1868">
        <w:rPr>
          <w:rFonts w:ascii="Times New Roman" w:eastAsia="TimesNewRomanPSMT" w:hAnsi="Times New Roman" w:cs="Times New Roman"/>
          <w:sz w:val="20"/>
          <w:szCs w:val="20"/>
        </w:rPr>
        <w:t xml:space="preserve"> </w:t>
      </w:r>
      <w:r w:rsidRPr="004B1868">
        <w:rPr>
          <w:rFonts w:ascii="Times New Roman" w:eastAsia="TimesNewRomanPSMT" w:hAnsi="Times New Roman" w:cs="Times New Roman"/>
          <w:sz w:val="20"/>
          <w:szCs w:val="20"/>
          <w:lang w:val="ja-JP"/>
        </w:rPr>
        <w:t>247 (2017)</w:t>
      </w:r>
      <w:r w:rsidRPr="004B1868">
        <w:rPr>
          <w:rFonts w:ascii="Times New Roman" w:eastAsia="TimesNewRomanPSMT" w:hAnsi="Times New Roman" w:cs="Times New Roman"/>
          <w:sz w:val="20"/>
          <w:szCs w:val="20"/>
        </w:rPr>
        <w:t xml:space="preserve"> </w:t>
      </w:r>
      <w:r w:rsidRPr="003C6201">
        <w:rPr>
          <w:rFonts w:ascii="Times New Roman" w:hAnsi="Times New Roman" w:cs="Times New Roman"/>
          <w:sz w:val="20"/>
          <w:szCs w:val="20"/>
        </w:rPr>
        <w:t xml:space="preserve">(hereinafter, </w:t>
      </w:r>
      <w:r w:rsidRPr="003C6201">
        <w:rPr>
          <w:rFonts w:ascii="Times New Roman" w:hAnsi="Times New Roman" w:cs="Times New Roman"/>
          <w:i/>
          <w:sz w:val="20"/>
          <w:szCs w:val="20"/>
        </w:rPr>
        <w:t>Shareholder Welfare</w:t>
      </w:r>
      <w:r w:rsidRPr="003C6201">
        <w:rPr>
          <w:rFonts w:ascii="Times New Roman" w:hAnsi="Times New Roman" w:cs="Times New Roman"/>
          <w:sz w:val="20"/>
          <w:szCs w:val="20"/>
        </w:rPr>
        <w:t>)</w:t>
      </w:r>
      <w:r w:rsidRPr="00D771A0">
        <w:rPr>
          <w:rFonts w:ascii="Times New Roman" w:eastAsia="TimesNewRomanPSMT" w:hAnsi="Times New Roman" w:cs="Times New Roman"/>
          <w:sz w:val="20"/>
          <w:szCs w:val="20"/>
        </w:rPr>
        <w:t>;</w:t>
      </w:r>
      <w:r w:rsidRPr="003C6201">
        <w:rPr>
          <w:rFonts w:ascii="Times New Roman" w:eastAsia="TimesNewRomanPSMT" w:hAnsi="Times New Roman" w:cs="Times New Roman"/>
          <w:sz w:val="20"/>
          <w:szCs w:val="20"/>
        </w:rPr>
        <w:t xml:space="preserve"> </w:t>
      </w:r>
      <w:r w:rsidRPr="00D771A0">
        <w:rPr>
          <w:rFonts w:ascii="Times New Roman" w:eastAsia="TimesNewRomanPSMT" w:hAnsi="Times New Roman" w:cs="Times New Roman"/>
          <w:sz w:val="20"/>
          <w:szCs w:val="20"/>
        </w:rPr>
        <w:t xml:space="preserve">Jill Fisch, </w:t>
      </w:r>
      <w:r w:rsidRPr="00D771A0">
        <w:rPr>
          <w:rFonts w:ascii="Times New Roman" w:hAnsi="Times New Roman" w:cs="Times New Roman"/>
          <w:i/>
          <w:iCs/>
          <w:sz w:val="20"/>
          <w:szCs w:val="20"/>
        </w:rPr>
        <w:t>Purpose Proposals</w:t>
      </w:r>
      <w:r w:rsidRPr="00D771A0">
        <w:rPr>
          <w:rFonts w:ascii="Times New Roman" w:eastAsia="TimesNewRomanPSMT" w:hAnsi="Times New Roman" w:cs="Times New Roman"/>
          <w:sz w:val="20"/>
          <w:szCs w:val="20"/>
          <w:lang w:val="ja-JP"/>
        </w:rPr>
        <w:t>, 1</w:t>
      </w:r>
      <w:r w:rsidRPr="00D771A0">
        <w:rPr>
          <w:rFonts w:ascii="Times New Roman" w:eastAsia="TimesNewRomanPSMT" w:hAnsi="Times New Roman" w:cs="Times New Roman"/>
          <w:sz w:val="20"/>
          <w:szCs w:val="20"/>
        </w:rPr>
        <w:t xml:space="preserve"> </w:t>
      </w:r>
      <w:r w:rsidRPr="00D771A0">
        <w:rPr>
          <w:rFonts w:ascii="Times New Roman" w:eastAsia="TimesNewRomanPSMT" w:hAnsi="Times New Roman" w:cs="Times New Roman"/>
          <w:smallCaps/>
          <w:sz w:val="20"/>
          <w:szCs w:val="20"/>
        </w:rPr>
        <w:t>U. Chi. Bus. L. Rev.</w:t>
      </w:r>
      <w:r w:rsidRPr="00D771A0">
        <w:rPr>
          <w:rFonts w:ascii="Times New Roman" w:eastAsia="TimesNewRomanPSMT" w:hAnsi="Times New Roman" w:cs="Times New Roman"/>
          <w:sz w:val="20"/>
          <w:szCs w:val="20"/>
        </w:rPr>
        <w:t xml:space="preserve"> </w:t>
      </w:r>
      <w:r w:rsidRPr="00D771A0">
        <w:rPr>
          <w:rFonts w:ascii="Times New Roman" w:eastAsia="TimesNewRomanPSMT" w:hAnsi="Times New Roman" w:cs="Times New Roman"/>
          <w:smallCaps/>
          <w:sz w:val="20"/>
          <w:szCs w:val="20"/>
        </w:rPr>
        <w:t>11</w:t>
      </w:r>
      <w:r w:rsidRPr="000B1548">
        <w:rPr>
          <w:rFonts w:ascii="Times New Roman" w:eastAsia="TimesNewRomanPSMT" w:hAnsi="Times New Roman" w:cs="Times New Roman"/>
          <w:smallCaps/>
          <w:sz w:val="20"/>
          <w:szCs w:val="20"/>
        </w:rPr>
        <w:t xml:space="preserve">3 </w:t>
      </w:r>
      <w:r w:rsidRPr="000B1548">
        <w:rPr>
          <w:rFonts w:ascii="Times New Roman" w:eastAsia="TimesNewRomanPSMT" w:hAnsi="Times New Roman" w:cs="Times New Roman"/>
          <w:sz w:val="20"/>
          <w:szCs w:val="20"/>
          <w:lang w:val="ja-JP"/>
        </w:rPr>
        <w:t>(2022)</w:t>
      </w:r>
      <w:r w:rsidRPr="003C6201">
        <w:rPr>
          <w:rFonts w:ascii="Times New Roman" w:eastAsia="TimesNewRomanPSMT" w:hAnsi="Times New Roman" w:cs="Times New Roman"/>
          <w:sz w:val="20"/>
          <w:szCs w:val="20"/>
        </w:rPr>
        <w:t xml:space="preserve">. </w:t>
      </w:r>
      <w:r w:rsidRPr="00D771A0">
        <w:rPr>
          <w:rFonts w:ascii="Times New Roman" w:eastAsia="TimesNewRomanPSMT" w:hAnsi="Times New Roman" w:cs="Times New Roman"/>
          <w:sz w:val="20"/>
          <w:szCs w:val="20"/>
        </w:rPr>
        <w:t>Presumably, the sentiments</w:t>
      </w:r>
      <w:r w:rsidRPr="00451AA4">
        <w:rPr>
          <w:rFonts w:ascii="Times New Roman" w:eastAsia="TimesNewRomanPSMT" w:hAnsi="Times New Roman" w:cs="Times New Roman"/>
          <w:sz w:val="20"/>
          <w:szCs w:val="20"/>
        </w:rPr>
        <w:t xml:space="preserve"> of the substantial portion of equity interests held indirectly by individual investors through investment and pension funds could be ascertained by the funds passing these polling inquiries on to their ultimate beneficiaries</w:t>
      </w:r>
      <w:r>
        <w:rPr>
          <w:rFonts w:ascii="Times New Roman" w:eastAsia="TimesNewRomanPSMT" w:hAnsi="Times New Roman" w:cs="Times New Roman"/>
          <w:sz w:val="20"/>
          <w:szCs w:val="20"/>
        </w:rPr>
        <w:t xml:space="preserve">. </w:t>
      </w:r>
    </w:p>
  </w:footnote>
  <w:footnote w:id="45">
    <w:p w14:paraId="0C9A1496" w14:textId="33557700" w:rsidR="006F1644" w:rsidRDefault="006F1644" w:rsidP="00975FEC">
      <w:pPr>
        <w:pStyle w:val="FootnoteText"/>
        <w:jc w:val="both"/>
      </w:pPr>
      <w:r>
        <w:rPr>
          <w:rStyle w:val="FootnoteReference"/>
        </w:rPr>
        <w:footnoteRef/>
      </w:r>
      <w:r>
        <w:t xml:space="preserve"> A classic example of such harm would be a particular form of air pollution. Deviations from share value maximization can also generate positive benefits to society, for example worker training programs extensive enough that, at the margin, the corporation is spending more to fund that it will recoup from a worker’s enhanced productivity. These positive effects raise the same kind of issues as the negative ones.</w:t>
      </w:r>
    </w:p>
  </w:footnote>
  <w:footnote w:id="46">
    <w:p w14:paraId="33F04B3B" w14:textId="0191A942" w:rsidR="006F1644" w:rsidRPr="005E3083" w:rsidRDefault="006F1644" w:rsidP="00975FEC">
      <w:pPr>
        <w:pStyle w:val="FootnoteText"/>
        <w:jc w:val="both"/>
        <w:rPr>
          <w:rFonts w:cs="Times New Roman"/>
        </w:rPr>
      </w:pPr>
      <w:r w:rsidRPr="005E3083">
        <w:rPr>
          <w:rStyle w:val="FootnoteReference"/>
          <w:rFonts w:cs="Times New Roman"/>
        </w:rPr>
        <w:footnoteRef/>
      </w:r>
      <w:r>
        <w:rPr>
          <w:rFonts w:cs="Times New Roman"/>
        </w:rPr>
        <w:t xml:space="preserve"> </w:t>
      </w:r>
      <w:r w:rsidRPr="005E3083">
        <w:rPr>
          <w:rFonts w:cs="Times New Roman"/>
        </w:rPr>
        <w:t xml:space="preserve">For example, when it comes to birth control or abortion, some investors will want the corporation to provide employees more in the way of these services than would be share value maximizing, while others would want to prohibit the corporation from providing such services even if their exclusion the firm’s package of benefits </w:t>
      </w:r>
      <w:r>
        <w:rPr>
          <w:rFonts w:cs="Times New Roman"/>
        </w:rPr>
        <w:t>is a non-</w:t>
      </w:r>
      <w:r w:rsidRPr="005E3083">
        <w:rPr>
          <w:rFonts w:cs="Times New Roman"/>
        </w:rPr>
        <w:t>share</w:t>
      </w:r>
      <w:r>
        <w:rPr>
          <w:rFonts w:cs="Times New Roman"/>
        </w:rPr>
        <w:t>-</w:t>
      </w:r>
      <w:r w:rsidRPr="005E3083">
        <w:rPr>
          <w:rFonts w:cs="Times New Roman"/>
        </w:rPr>
        <w:t>value</w:t>
      </w:r>
      <w:r>
        <w:rPr>
          <w:rFonts w:cs="Times New Roman"/>
        </w:rPr>
        <w:t>-</w:t>
      </w:r>
      <w:r w:rsidRPr="005E3083">
        <w:rPr>
          <w:rFonts w:cs="Times New Roman"/>
        </w:rPr>
        <w:t>maximizing</w:t>
      </w:r>
      <w:r>
        <w:rPr>
          <w:rFonts w:cs="Times New Roman"/>
        </w:rPr>
        <w:t xml:space="preserve"> decision because of the negative effect on recruiting and retaining talented employees. </w:t>
      </w:r>
      <w:r w:rsidRPr="005E3083">
        <w:rPr>
          <w:rFonts w:cs="Times New Roman"/>
        </w:rPr>
        <w:t>Moreover, the same action, whether or not a deviation from share value maximization, can promote one social end while harming another</w:t>
      </w:r>
      <w:r>
        <w:rPr>
          <w:rFonts w:cs="Times New Roman"/>
        </w:rPr>
        <w:t xml:space="preserve">. </w:t>
      </w:r>
      <w:r w:rsidRPr="005E3083">
        <w:rPr>
          <w:rFonts w:cs="Times New Roman"/>
        </w:rPr>
        <w:t>An example would be closing a polluting factory that results in the firing of employees who have little in the way of alternative jobs.</w:t>
      </w:r>
    </w:p>
  </w:footnote>
  <w:footnote w:id="47">
    <w:p w14:paraId="15E5BC82" w14:textId="6816D2D7" w:rsidR="006F1644" w:rsidRPr="005E3083" w:rsidRDefault="006F1644" w:rsidP="00975FEC">
      <w:pPr>
        <w:pStyle w:val="FootnoteText"/>
        <w:jc w:val="both"/>
        <w:rPr>
          <w:rFonts w:cs="Times New Roman"/>
          <w:b/>
        </w:rPr>
      </w:pPr>
      <w:r w:rsidRPr="005E3083">
        <w:rPr>
          <w:rStyle w:val="FootnoteReference"/>
          <w:rFonts w:cs="Times New Roman"/>
        </w:rPr>
        <w:footnoteRef/>
      </w:r>
      <w:r w:rsidRPr="005E3083">
        <w:rPr>
          <w:rFonts w:cs="Times New Roman"/>
        </w:rPr>
        <w:t xml:space="preserve"> Robert Bartlett </w:t>
      </w:r>
      <w:r>
        <w:rPr>
          <w:rFonts w:cs="Times New Roman"/>
        </w:rPr>
        <w:t xml:space="preserve">and </w:t>
      </w:r>
      <w:r w:rsidRPr="005E3083">
        <w:rPr>
          <w:rFonts w:cs="Times New Roman"/>
        </w:rPr>
        <w:t xml:space="preserve">Ryan Bubb argue, for example, that a broad-based green index fund is not “well positioned” to act as an informed voter because doing so would require so much interaction and study of each individual firm in order to calculate what changes in behavior would accomplish how much environmental improvement at what cost. </w:t>
      </w:r>
      <w:r w:rsidRPr="005E3083">
        <w:rPr>
          <w:rFonts w:cs="Times New Roman"/>
          <w:i/>
          <w:iCs/>
        </w:rPr>
        <w:t xml:space="preserve">See </w:t>
      </w:r>
      <w:r w:rsidRPr="005E3083">
        <w:rPr>
          <w:rFonts w:cs="Times New Roman"/>
        </w:rPr>
        <w:t>Bartlett</w:t>
      </w:r>
      <w:r>
        <w:rPr>
          <w:rFonts w:cs="Times New Roman"/>
        </w:rPr>
        <w:t xml:space="preserve"> &amp; Bubb</w:t>
      </w:r>
      <w:r w:rsidRPr="005E3083">
        <w:rPr>
          <w:rFonts w:cs="Times New Roman"/>
        </w:rPr>
        <w:t xml:space="preserve">, </w:t>
      </w:r>
      <w:r w:rsidRPr="005E3083">
        <w:rPr>
          <w:rFonts w:cs="Times New Roman"/>
          <w:i/>
          <w:iCs/>
        </w:rPr>
        <w:t>supra</w:t>
      </w:r>
      <w:r w:rsidRPr="005E3083">
        <w:rPr>
          <w:rFonts w:cs="Times New Roman"/>
        </w:rPr>
        <w:t xml:space="preserve"> note</w:t>
      </w:r>
      <w:r>
        <w:rPr>
          <w:rFonts w:cs="Times New Roman"/>
        </w:rPr>
        <w:t xml:space="preserve"> </w:t>
      </w:r>
      <w:r>
        <w:rPr>
          <w:rFonts w:cs="Times New Roman"/>
        </w:rPr>
        <w:fldChar w:fldCharType="begin"/>
      </w:r>
      <w:r>
        <w:rPr>
          <w:rFonts w:cs="Times New Roman"/>
        </w:rPr>
        <w:instrText xml:space="preserve"> NOTEREF _Ref178624775 \h </w:instrText>
      </w:r>
      <w:r>
        <w:rPr>
          <w:rFonts w:cs="Times New Roman"/>
        </w:rPr>
      </w:r>
      <w:r>
        <w:rPr>
          <w:rFonts w:cs="Times New Roman"/>
        </w:rPr>
        <w:fldChar w:fldCharType="separate"/>
      </w:r>
      <w:r w:rsidR="005B5BC3">
        <w:rPr>
          <w:rFonts w:cs="Times New Roman"/>
        </w:rPr>
        <w:t>37</w:t>
      </w:r>
      <w:r>
        <w:rPr>
          <w:rFonts w:cs="Times New Roman"/>
        </w:rPr>
        <w:fldChar w:fldCharType="end"/>
      </w:r>
      <w:r w:rsidRPr="005E3083">
        <w:rPr>
          <w:rFonts w:cs="Times New Roman"/>
        </w:rPr>
        <w:t>, at 4</w:t>
      </w:r>
      <w:r>
        <w:rPr>
          <w:rFonts w:cs="Times New Roman"/>
        </w:rPr>
        <w:t>72</w:t>
      </w:r>
      <w:r w:rsidRPr="005E3083">
        <w:rPr>
          <w:rFonts w:cs="Times New Roman"/>
        </w:rPr>
        <w:t>. Given that a standard managed fund pursuing just high risk-adjusted returns needs to know a great deal about which company in which it invests, it would appear organizationally possible for a fund promising to vote in a “green” way to gather such information</w:t>
      </w:r>
      <w:r>
        <w:rPr>
          <w:rFonts w:cs="Times New Roman"/>
        </w:rPr>
        <w:t xml:space="preserve">. </w:t>
      </w:r>
      <w:r w:rsidRPr="005E3083">
        <w:rPr>
          <w:rFonts w:cs="Times New Roman"/>
        </w:rPr>
        <w:t>More likely the problem is an unwillingness on the part of investors to pay fees great enough to support such a staff</w:t>
      </w:r>
      <w:r>
        <w:rPr>
          <w:rFonts w:cs="Times New Roman"/>
        </w:rPr>
        <w:t xml:space="preserve">. </w:t>
      </w:r>
      <w:r w:rsidRPr="005E3083">
        <w:rPr>
          <w:rFonts w:cs="Times New Roman"/>
        </w:rPr>
        <w:t>Also, the knowledge that is really need includes a lot of complexities about the whole economy</w:t>
      </w:r>
      <w:r>
        <w:rPr>
          <w:rFonts w:cs="Times New Roman"/>
        </w:rPr>
        <w:t xml:space="preserve">. </w:t>
      </w:r>
      <w:r w:rsidRPr="005E3083">
        <w:rPr>
          <w:rFonts w:cs="Times New Roman"/>
        </w:rPr>
        <w:t>Taking carbon as an example, even if a was able to determine much carbon would be reduced for a given firm’s given deviation from share value, that is not necessarily the best externality to eliminate from a social welfare point of view. It may be better, for example, to push automakers to stop selling large gas powered SUVs than to push airlines to curtail intercontinental flights even when the measures involve similar reductions in share value</w:t>
      </w:r>
      <w:r>
        <w:rPr>
          <w:rFonts w:cs="Times New Roman"/>
        </w:rPr>
        <w:t xml:space="preserve">. </w:t>
      </w:r>
      <w:r w:rsidRPr="005E3083">
        <w:rPr>
          <w:rFonts w:cs="Times New Roman"/>
        </w:rPr>
        <w:t>There are many close substitutes for providing personal transportation but not for providing fast intercontinental travel</w:t>
      </w:r>
    </w:p>
  </w:footnote>
  <w:footnote w:id="48">
    <w:p w14:paraId="11EB737F" w14:textId="0045ACEE" w:rsidR="006F1644" w:rsidRPr="008863B9" w:rsidRDefault="006F1644" w:rsidP="001506BE">
      <w:pPr>
        <w:pStyle w:val="FootnoteText"/>
        <w:jc w:val="both"/>
        <w:rPr>
          <w:rFonts w:cs="Times New Roman"/>
        </w:rPr>
      </w:pPr>
      <w:r w:rsidRPr="005E3083">
        <w:rPr>
          <w:rStyle w:val="FootnoteReference"/>
          <w:rFonts w:cs="Times New Roman"/>
        </w:rPr>
        <w:footnoteRef/>
      </w:r>
      <w:r w:rsidRPr="005E3083">
        <w:rPr>
          <w:rFonts w:cs="Times New Roman"/>
        </w:rPr>
        <w:t xml:space="preserve"> The empirical evidence to date suggests that funds do not do a very good job at </w:t>
      </w:r>
      <w:r>
        <w:rPr>
          <w:rFonts w:cs="Times New Roman"/>
        </w:rPr>
        <w:t xml:space="preserve">ascertaining how their investors wis their funds to vote. </w:t>
      </w:r>
      <w:r w:rsidRPr="005E3083">
        <w:rPr>
          <w:rFonts w:cs="Times New Roman"/>
        </w:rPr>
        <w:t xml:space="preserve">A study by Jonathan Zytnick, for example, finds very little correlation between investor preferences and fund voting. </w:t>
      </w:r>
      <w:r w:rsidRPr="005E3083">
        <w:rPr>
          <w:rFonts w:cs="Times New Roman"/>
          <w:i/>
          <w:iCs/>
        </w:rPr>
        <w:t>See</w:t>
      </w:r>
      <w:r w:rsidRPr="005E3083">
        <w:rPr>
          <w:rFonts w:cs="Times New Roman"/>
        </w:rPr>
        <w:t xml:space="preserve"> Jonathon Zytnick, </w:t>
      </w:r>
      <w:r w:rsidRPr="005E3083">
        <w:rPr>
          <w:rFonts w:cs="Times New Roman"/>
          <w:i/>
          <w:iCs/>
        </w:rPr>
        <w:t>Do Mutual Funds Represent Individual Investors?</w:t>
      </w:r>
      <w:r w:rsidRPr="005E3083">
        <w:rPr>
          <w:rFonts w:cs="Times New Roman"/>
        </w:rPr>
        <w:t xml:space="preserve"> (2021), https://papers.ssrn.com/abstract=3803690.</w:t>
      </w:r>
      <w:r w:rsidRPr="005E3083">
        <w:rPr>
          <w:rFonts w:cs="Times New Roman"/>
          <w:b/>
        </w:rPr>
        <w:t xml:space="preserve"> </w:t>
      </w:r>
      <w:r>
        <w:rPr>
          <w:rFonts w:cs="Times New Roman"/>
        </w:rPr>
        <w:t xml:space="preserve">Some commentators have suggested that corporations </w:t>
      </w:r>
    </w:p>
  </w:footnote>
  <w:footnote w:id="49">
    <w:p w14:paraId="44304F94" w14:textId="27619497" w:rsidR="006F1644" w:rsidRPr="000D237F" w:rsidRDefault="006F1644" w:rsidP="000D237F">
      <w:pPr>
        <w:spacing w:after="0" w:line="240" w:lineRule="auto"/>
        <w:rPr>
          <w:rFonts w:ascii="Times New Roman" w:hAnsi="Times New Roman" w:cs="Times New Roman"/>
          <w:sz w:val="20"/>
          <w:szCs w:val="20"/>
        </w:rPr>
      </w:pPr>
      <w:r w:rsidRPr="000D237F">
        <w:rPr>
          <w:rStyle w:val="FootnoteReference"/>
          <w:rFonts w:ascii="Times New Roman" w:hAnsi="Times New Roman" w:cs="Times New Roman"/>
          <w:sz w:val="20"/>
          <w:szCs w:val="20"/>
        </w:rPr>
        <w:footnoteRef/>
      </w:r>
      <w:r w:rsidRPr="000D237F">
        <w:rPr>
          <w:rFonts w:ascii="Times New Roman" w:hAnsi="Times New Roman" w:cs="Times New Roman"/>
          <w:sz w:val="20"/>
          <w:szCs w:val="20"/>
        </w:rPr>
        <w:t xml:space="preserve"> </w:t>
      </w:r>
      <w:r w:rsidRPr="00856A34">
        <w:rPr>
          <w:rFonts w:ascii="Times New Roman" w:hAnsi="Times New Roman" w:cs="Times New Roman"/>
          <w:i/>
          <w:iCs/>
          <w:sz w:val="20"/>
          <w:szCs w:val="20"/>
        </w:rPr>
        <w:t>See</w:t>
      </w:r>
      <w:r w:rsidR="008E152C">
        <w:rPr>
          <w:rFonts w:ascii="Times New Roman" w:hAnsi="Times New Roman" w:cs="Times New Roman"/>
          <w:sz w:val="20"/>
          <w:szCs w:val="20"/>
        </w:rPr>
        <w:t xml:space="preserve"> </w:t>
      </w:r>
      <w:r w:rsidRPr="00451AA4">
        <w:rPr>
          <w:rFonts w:ascii="Times New Roman" w:eastAsia="TimesNewRomanPSMT" w:hAnsi="Times New Roman" w:cs="Times New Roman"/>
          <w:kern w:val="0"/>
          <w:sz w:val="20"/>
          <w:szCs w:val="20"/>
        </w:rPr>
        <w:t xml:space="preserve">Bengt Holmstrom &amp; Paul Milgrom, </w:t>
      </w:r>
      <w:r w:rsidRPr="00451AA4">
        <w:rPr>
          <w:rFonts w:ascii="Times New Roman" w:hAnsi="Times New Roman" w:cs="Times New Roman"/>
          <w:i/>
          <w:iCs/>
          <w:kern w:val="0"/>
          <w:sz w:val="20"/>
          <w:szCs w:val="20"/>
        </w:rPr>
        <w:t xml:space="preserve">Multitask Principal–Agent Analyses: Incentive </w:t>
      </w:r>
      <w:r w:rsidRPr="00451AA4">
        <w:rPr>
          <w:rFonts w:ascii="Times New Roman" w:hAnsi="Times New Roman" w:cs="Times New Roman"/>
          <w:i/>
          <w:iCs/>
          <w:sz w:val="20"/>
          <w:szCs w:val="20"/>
        </w:rPr>
        <w:t>Contracts, Asset Ownership, and Job Design</w:t>
      </w:r>
      <w:r w:rsidRPr="00856A34">
        <w:rPr>
          <w:rFonts w:ascii="Times New Roman" w:eastAsia="TimesNewRomanPSMT" w:hAnsi="Times New Roman" w:cs="Times New Roman"/>
          <w:sz w:val="20"/>
          <w:szCs w:val="20"/>
          <w:lang w:val="ja-JP"/>
        </w:rPr>
        <w:t xml:space="preserve">, 7 </w:t>
      </w:r>
      <w:r w:rsidRPr="00856A34">
        <w:rPr>
          <w:rFonts w:ascii="Times New Roman" w:eastAsia="TimesNewRomanPSMT" w:hAnsi="Times New Roman" w:cs="Times New Roman"/>
          <w:smallCaps/>
          <w:sz w:val="20"/>
          <w:szCs w:val="20"/>
          <w:lang w:val="ja-JP"/>
        </w:rPr>
        <w:t xml:space="preserve">J. </w:t>
      </w:r>
      <w:r w:rsidRPr="00856A34">
        <w:rPr>
          <w:rFonts w:ascii="Times New Roman" w:eastAsia="TimesNewRomanPSMT" w:hAnsi="Times New Roman" w:cs="Times New Roman"/>
          <w:smallCaps/>
          <w:sz w:val="20"/>
          <w:szCs w:val="20"/>
        </w:rPr>
        <w:t>Law. Econ. Org.</w:t>
      </w:r>
      <w:r>
        <w:rPr>
          <w:rFonts w:ascii="Times New Roman" w:eastAsia="TimesNewRomanPSMT" w:hAnsi="Times New Roman" w:cs="Times New Roman"/>
          <w:sz w:val="20"/>
          <w:szCs w:val="20"/>
        </w:rPr>
        <w:t xml:space="preserve"> </w:t>
      </w:r>
      <w:r w:rsidRPr="00856A34">
        <w:rPr>
          <w:rFonts w:ascii="Times New Roman" w:eastAsia="TimesNewRomanPSMT" w:hAnsi="Times New Roman" w:cs="Times New Roman"/>
          <w:sz w:val="20"/>
          <w:szCs w:val="20"/>
          <w:lang w:val="ja-JP"/>
        </w:rPr>
        <w:t>24 (1991).</w:t>
      </w:r>
    </w:p>
  </w:footnote>
  <w:footnote w:id="50">
    <w:p w14:paraId="74F811EC" w14:textId="6E4A0AB8" w:rsidR="006F1644" w:rsidRPr="005E3083" w:rsidRDefault="006F1644" w:rsidP="003C6201">
      <w:pPr>
        <w:pStyle w:val="FootnoteText"/>
        <w:jc w:val="both"/>
        <w:rPr>
          <w:rFonts w:cs="Times New Roman"/>
        </w:rPr>
      </w:pPr>
      <w:r w:rsidRPr="005E3083">
        <w:rPr>
          <w:rStyle w:val="FootnoteReference"/>
          <w:rFonts w:cs="Times New Roman"/>
        </w:rPr>
        <w:footnoteRef/>
      </w:r>
      <w:r w:rsidRPr="005E3083">
        <w:rPr>
          <w:rFonts w:cs="Times New Roman"/>
        </w:rPr>
        <w:t xml:space="preserve"> </w:t>
      </w:r>
      <w:r w:rsidRPr="000D237F">
        <w:rPr>
          <w:rFonts w:cs="Times New Roman"/>
          <w:i/>
          <w:iCs/>
        </w:rPr>
        <w:t>See, e.g.</w:t>
      </w:r>
      <w:r>
        <w:rPr>
          <w:rFonts w:cs="Times New Roman"/>
        </w:rPr>
        <w:t xml:space="preserve">, note </w:t>
      </w:r>
      <w:r>
        <w:rPr>
          <w:rFonts w:cs="Times New Roman"/>
        </w:rPr>
        <w:fldChar w:fldCharType="begin"/>
      </w:r>
      <w:r>
        <w:rPr>
          <w:rFonts w:cs="Times New Roman"/>
        </w:rPr>
        <w:instrText xml:space="preserve"> NOTEREF _Ref180703604 \h </w:instrText>
      </w:r>
      <w:r>
        <w:rPr>
          <w:rFonts w:cs="Times New Roman"/>
        </w:rPr>
      </w:r>
      <w:r>
        <w:rPr>
          <w:rFonts w:cs="Times New Roman"/>
        </w:rPr>
        <w:fldChar w:fldCharType="separate"/>
      </w:r>
      <w:r w:rsidR="005B5BC3">
        <w:rPr>
          <w:rFonts w:cs="Times New Roman"/>
        </w:rPr>
        <w:t>36</w:t>
      </w:r>
      <w:r>
        <w:rPr>
          <w:rFonts w:cs="Times New Roman"/>
        </w:rPr>
        <w:fldChar w:fldCharType="end"/>
      </w:r>
      <w:r>
        <w:rPr>
          <w:rFonts w:cs="Times New Roman"/>
        </w:rPr>
        <w:t xml:space="preserve"> </w:t>
      </w:r>
      <w:r w:rsidRPr="000D237F">
        <w:rPr>
          <w:rFonts w:cs="Times New Roman"/>
          <w:i/>
          <w:iCs/>
        </w:rPr>
        <w:t>supra</w:t>
      </w:r>
      <w:r>
        <w:rPr>
          <w:rFonts w:cs="Times New Roman"/>
        </w:rPr>
        <w:t xml:space="preserve"> (discussing </w:t>
      </w:r>
      <w:r w:rsidRPr="005E3083">
        <w:rPr>
          <w:rFonts w:cs="Times New Roman"/>
        </w:rPr>
        <w:t>Engine No. 1</w:t>
      </w:r>
      <w:r>
        <w:rPr>
          <w:rFonts w:cs="Times New Roman"/>
        </w:rPr>
        <w:t>’s</w:t>
      </w:r>
      <w:r w:rsidRPr="005E3083">
        <w:rPr>
          <w:rFonts w:cs="Times New Roman"/>
        </w:rPr>
        <w:t xml:space="preserve"> </w:t>
      </w:r>
      <w:r>
        <w:rPr>
          <w:rFonts w:cs="Times New Roman"/>
        </w:rPr>
        <w:t>proxy fight at Exxon Mobile)</w:t>
      </w:r>
      <w:r w:rsidRPr="005E3083">
        <w:rPr>
          <w:rFonts w:cs="Times New Roman"/>
        </w:rPr>
        <w:t xml:space="preserve">. </w:t>
      </w:r>
    </w:p>
  </w:footnote>
  <w:footnote w:id="51">
    <w:p w14:paraId="53D3FA2A" w14:textId="17E5947B" w:rsidR="006F1644" w:rsidRPr="005E3083" w:rsidRDefault="006F1644" w:rsidP="00975FEC">
      <w:pPr>
        <w:pStyle w:val="FootnoteText"/>
        <w:jc w:val="both"/>
        <w:rPr>
          <w:rFonts w:cs="Times New Roman"/>
        </w:rPr>
      </w:pPr>
      <w:r w:rsidRPr="005E3083">
        <w:rPr>
          <w:rStyle w:val="FootnoteReference"/>
          <w:rFonts w:cs="Times New Roman"/>
        </w:rPr>
        <w:footnoteRef/>
      </w:r>
      <w:r w:rsidRPr="005E3083">
        <w:rPr>
          <w:rFonts w:cs="Times New Roman"/>
        </w:rPr>
        <w:t xml:space="preserve"> Presently, state corporate law</w:t>
      </w:r>
      <w:r>
        <w:rPr>
          <w:rFonts w:cs="Times New Roman"/>
        </w:rPr>
        <w:t>, at least as a default,</w:t>
      </w:r>
      <w:r w:rsidRPr="005E3083">
        <w:rPr>
          <w:rFonts w:cs="Times New Roman"/>
        </w:rPr>
        <w:t xml:space="preserve"> </w:t>
      </w:r>
      <w:r>
        <w:rPr>
          <w:rFonts w:cs="Times New Roman"/>
        </w:rPr>
        <w:t xml:space="preserve">only provides for a </w:t>
      </w:r>
      <w:r w:rsidRPr="005E3083">
        <w:rPr>
          <w:rFonts w:cs="Times New Roman"/>
        </w:rPr>
        <w:t>shareholder vote with respect to certain discrete matters, such as electing directors and some corporate acquisitions</w:t>
      </w:r>
      <w:r>
        <w:rPr>
          <w:rFonts w:cs="Times New Roman"/>
        </w:rPr>
        <w:t xml:space="preserve"> and does not provide for a shareholder that would bind the corporation with respect to specific business decisions</w:t>
      </w:r>
      <w:r w:rsidRPr="005E3083">
        <w:rPr>
          <w:rFonts w:cs="Times New Roman"/>
        </w:rPr>
        <w:t xml:space="preserve">, See, e.g., DGCL 211(b) (shareholder election of directors) &amp; 251(c) (shareholder voting for a merger with another Delaware corporation). </w:t>
      </w:r>
      <w:r>
        <w:rPr>
          <w:rFonts w:cs="Times New Roman"/>
        </w:rPr>
        <w:t xml:space="preserve">This could be amended to provide for such shareholder votes. For this change to be effective, there would also need to be an expansion of </w:t>
      </w:r>
      <w:r w:rsidRPr="005E3083">
        <w:rPr>
          <w:rFonts w:cs="Times New Roman"/>
        </w:rPr>
        <w:t xml:space="preserve">the scope of </w:t>
      </w:r>
      <w:r>
        <w:rPr>
          <w:rFonts w:cs="Times New Roman"/>
        </w:rPr>
        <w:t>the federal rules concerning what shareholders can vote on by proxy. This would require revising</w:t>
      </w:r>
      <w:r w:rsidRPr="008B745A">
        <w:t xml:space="preserve"> </w:t>
      </w:r>
      <w:r>
        <w:t xml:space="preserve">what is </w:t>
      </w:r>
      <w:r w:rsidRPr="0013772A">
        <w:t>excludable under Rule 14a-8(i)(7)’s ordinary</w:t>
      </w:r>
      <w:r>
        <w:t xml:space="preserve"> </w:t>
      </w:r>
      <w:r w:rsidRPr="0013772A">
        <w:t xml:space="preserve">business exclusion. </w:t>
      </w:r>
      <w:r w:rsidRPr="0013772A">
        <w:rPr>
          <w:i/>
          <w:iCs/>
        </w:rPr>
        <w:t>See</w:t>
      </w:r>
      <w:r w:rsidRPr="0013772A">
        <w:t xml:space="preserve"> </w:t>
      </w:r>
      <w:r>
        <w:t>Amendments to Rules on Shareholder Proposals</w:t>
      </w:r>
      <w:r w:rsidRPr="0013772A">
        <w:t xml:space="preserve">, </w:t>
      </w:r>
      <w:r>
        <w:t xml:space="preserve">Exchange Act </w:t>
      </w:r>
      <w:r w:rsidRPr="0013772A">
        <w:t>Release No. 40018</w:t>
      </w:r>
      <w:r>
        <w:t>, 63 Fed. Reg. 29106, 29108</w:t>
      </w:r>
      <w:r w:rsidRPr="0013772A">
        <w:t xml:space="preserve"> (1998), https://www.govinfo.gov/content/pkg/FR-1998-05-28/pdf/98-14121.pdf</w:t>
      </w:r>
      <w:r w:rsidRPr="003F2093">
        <w:t xml:space="preserve"> </w:t>
      </w:r>
      <w:r w:rsidRPr="0013772A">
        <w:t>(“T</w:t>
      </w:r>
      <w:r w:rsidRPr="00FA46AF">
        <w:t>he policy underlying the ordinary business exclusion rests on two central considerations. The first relates to the subject matter of the proposal. Certain tasks are so fundamental to management</w:t>
      </w:r>
      <w:r>
        <w:t>’</w:t>
      </w:r>
      <w:r w:rsidRPr="00FA46AF">
        <w:t>s ability to run a company on a day-to-day basis that they could not, as a practical matter, be subject to direct shareholder oversight. Examples include</w:t>
      </w:r>
      <w:r>
        <w:t> . . . </w:t>
      </w:r>
      <w:r w:rsidRPr="00FA46AF">
        <w:t>decisions on production quality and quantity</w:t>
      </w:r>
      <w:r>
        <w:t> . . . . </w:t>
      </w:r>
      <w:r w:rsidRPr="00FA46AF">
        <w:t xml:space="preserve">The second consideration relates to the degree to which the proposal seeks to </w:t>
      </w:r>
      <w:r>
        <w:t>‘</w:t>
      </w:r>
      <w:r w:rsidRPr="00FA46AF">
        <w:t>micro-manage</w:t>
      </w:r>
      <w:r>
        <w:t>’</w:t>
      </w:r>
      <w:r w:rsidRPr="00FA46AF">
        <w:t xml:space="preserve"> the company by probing too deeply into matters of a complex nature upon which shareholders, as a group, would not be in a position to make an informed judgment.”).</w:t>
      </w:r>
      <w:r w:rsidRPr="005E3083">
        <w:rPr>
          <w:rFonts w:cs="Times New Roman"/>
        </w:rPr>
        <w:t xml:space="preserve"> </w:t>
      </w:r>
    </w:p>
  </w:footnote>
  <w:footnote w:id="52">
    <w:p w14:paraId="22BA66C5" w14:textId="3347BFF5" w:rsidR="006F1644" w:rsidRPr="005E3083" w:rsidRDefault="006F1644" w:rsidP="00975FEC">
      <w:pPr>
        <w:pStyle w:val="FootnoteText"/>
        <w:jc w:val="both"/>
        <w:rPr>
          <w:rFonts w:cs="Times New Roman"/>
        </w:rPr>
      </w:pPr>
      <w:r w:rsidRPr="005E3083">
        <w:rPr>
          <w:rStyle w:val="FootnoteReference"/>
          <w:rFonts w:cs="Times New Roman"/>
        </w:rPr>
        <w:footnoteRef/>
      </w:r>
      <w:r w:rsidRPr="005E3083">
        <w:rPr>
          <w:rFonts w:cs="Times New Roman"/>
        </w:rPr>
        <w:t xml:space="preserve"> </w:t>
      </w:r>
      <w:r w:rsidRPr="005E3083">
        <w:rPr>
          <w:rFonts w:cs="Times New Roman"/>
          <w:i/>
          <w:iCs/>
        </w:rPr>
        <w:t>See</w:t>
      </w:r>
      <w:r w:rsidRPr="005E3083">
        <w:rPr>
          <w:rFonts w:cs="Times New Roman"/>
        </w:rPr>
        <w:t xml:space="preserve"> Hart &amp; Zingales, </w:t>
      </w:r>
      <w:r w:rsidRPr="005E3083">
        <w:rPr>
          <w:rFonts w:cs="Times New Roman"/>
          <w:i/>
        </w:rPr>
        <w:t>Shareholder Welfare</w:t>
      </w:r>
      <w:r>
        <w:rPr>
          <w:rFonts w:cs="Times New Roman"/>
          <w:iCs/>
        </w:rPr>
        <w:t xml:space="preserve">, </w:t>
      </w:r>
      <w:r>
        <w:rPr>
          <w:rFonts w:cs="Times New Roman"/>
          <w:i/>
        </w:rPr>
        <w:t xml:space="preserve">supra </w:t>
      </w:r>
      <w:r w:rsidRPr="00D97F74">
        <w:rPr>
          <w:rFonts w:cs="Times New Roman"/>
          <w:iCs/>
        </w:rPr>
        <w:t xml:space="preserve">note </w:t>
      </w:r>
      <w:r w:rsidRPr="00D771A0">
        <w:rPr>
          <w:rFonts w:cs="Times New Roman"/>
          <w:iCs/>
        </w:rPr>
        <w:fldChar w:fldCharType="begin"/>
      </w:r>
      <w:r w:rsidRPr="00D97F74">
        <w:rPr>
          <w:rFonts w:cs="Times New Roman"/>
          <w:iCs/>
        </w:rPr>
        <w:instrText xml:space="preserve"> NOTEREF _Ref180496848 \h </w:instrText>
      </w:r>
      <w:r>
        <w:rPr>
          <w:rFonts w:cs="Times New Roman"/>
          <w:iCs/>
        </w:rPr>
        <w:instrText xml:space="preserve"> \* MERGEFORMAT </w:instrText>
      </w:r>
      <w:r w:rsidRPr="00D771A0">
        <w:rPr>
          <w:rFonts w:cs="Times New Roman"/>
          <w:iCs/>
        </w:rPr>
      </w:r>
      <w:r w:rsidRPr="00D771A0">
        <w:rPr>
          <w:rFonts w:cs="Times New Roman"/>
          <w:iCs/>
        </w:rPr>
        <w:fldChar w:fldCharType="separate"/>
      </w:r>
      <w:r w:rsidR="005B5BC3">
        <w:rPr>
          <w:rFonts w:cs="Times New Roman"/>
          <w:iCs/>
        </w:rPr>
        <w:t>42</w:t>
      </w:r>
      <w:r w:rsidRPr="00D771A0">
        <w:rPr>
          <w:rFonts w:cs="Times New Roman"/>
          <w:iCs/>
        </w:rPr>
        <w:fldChar w:fldCharType="end"/>
      </w:r>
      <w:r w:rsidRPr="00A0239A">
        <w:rPr>
          <w:rFonts w:cs="Times New Roman"/>
          <w:iCs/>
        </w:rPr>
        <w:t>;</w:t>
      </w:r>
      <w:r w:rsidRPr="005E3083">
        <w:rPr>
          <w:rFonts w:cs="Times New Roman"/>
        </w:rPr>
        <w:t xml:space="preserve"> Oliver Hart &amp; Luigi Zingales, </w:t>
      </w:r>
      <w:r w:rsidRPr="005E3083">
        <w:rPr>
          <w:rFonts w:cs="Times New Roman"/>
          <w:i/>
          <w:iCs/>
        </w:rPr>
        <w:t>The New Corporate Governance</w:t>
      </w:r>
      <w:r w:rsidRPr="005E3083">
        <w:rPr>
          <w:rFonts w:cs="Times New Roman"/>
        </w:rPr>
        <w:t xml:space="preserve">, 1 U. </w:t>
      </w:r>
      <w:r w:rsidRPr="005E3083">
        <w:rPr>
          <w:rFonts w:cs="Times New Roman"/>
          <w:smallCaps/>
        </w:rPr>
        <w:t>Chi. Bus. L. Rev.</w:t>
      </w:r>
      <w:r w:rsidRPr="005E3083">
        <w:rPr>
          <w:rFonts w:cs="Times New Roman"/>
        </w:rPr>
        <w:t xml:space="preserve"> 247 (2022) (hereinafter</w:t>
      </w:r>
      <w:r>
        <w:rPr>
          <w:rFonts w:cs="Times New Roman"/>
        </w:rPr>
        <w:t>,</w:t>
      </w:r>
      <w:r w:rsidRPr="005E3083">
        <w:rPr>
          <w:rFonts w:cs="Times New Roman"/>
        </w:rPr>
        <w:t xml:space="preserve"> </w:t>
      </w:r>
      <w:r w:rsidRPr="005E3083">
        <w:rPr>
          <w:rFonts w:cs="Times New Roman"/>
          <w:i/>
        </w:rPr>
        <w:t>Corporate Governance</w:t>
      </w:r>
      <w:r w:rsidRPr="005E3083">
        <w:rPr>
          <w:rFonts w:cs="Times New Roman"/>
        </w:rPr>
        <w:t xml:space="preserve">). </w:t>
      </w:r>
    </w:p>
  </w:footnote>
  <w:footnote w:id="53">
    <w:p w14:paraId="6405513B" w14:textId="10C47B3A" w:rsidR="006F1644" w:rsidRPr="005E3083" w:rsidRDefault="006F1644" w:rsidP="00975FEC">
      <w:pPr>
        <w:pStyle w:val="FootnoteText"/>
        <w:jc w:val="both"/>
        <w:rPr>
          <w:rFonts w:cs="Times New Roman"/>
        </w:rPr>
      </w:pPr>
      <w:r w:rsidRPr="005E3083">
        <w:rPr>
          <w:rStyle w:val="FootnoteReference"/>
          <w:rFonts w:cs="Times New Roman"/>
        </w:rPr>
        <w:footnoteRef/>
      </w:r>
      <w:r w:rsidRPr="005E3083">
        <w:rPr>
          <w:rFonts w:cs="Times New Roman"/>
        </w:rPr>
        <w:t xml:space="preserve"> Interestingly, H&amp;Z </w:t>
      </w:r>
      <w:r>
        <w:rPr>
          <w:rFonts w:cs="Times New Roman"/>
        </w:rPr>
        <w:t xml:space="preserve">headline in the title of one of their articles that their </w:t>
      </w:r>
      <w:r w:rsidRPr="005E3083">
        <w:rPr>
          <w:rFonts w:cs="Times New Roman"/>
        </w:rPr>
        <w:t xml:space="preserve">proposed reform </w:t>
      </w:r>
      <w:r>
        <w:rPr>
          <w:rFonts w:cs="Times New Roman"/>
        </w:rPr>
        <w:t xml:space="preserve">is one of </w:t>
      </w:r>
      <w:r w:rsidRPr="005E3083">
        <w:rPr>
          <w:rFonts w:cs="Times New Roman"/>
        </w:rPr>
        <w:t xml:space="preserve">promoting </w:t>
      </w:r>
      <w:r w:rsidRPr="009C5F31">
        <w:rPr>
          <w:rFonts w:cs="Times New Roman"/>
          <w:i/>
          <w:iCs/>
        </w:rPr>
        <w:t>shareholder welfare</w:t>
      </w:r>
      <w:r w:rsidRPr="005E3083">
        <w:rPr>
          <w:rFonts w:cs="Times New Roman"/>
        </w:rPr>
        <w:t xml:space="preserve"> maximization. </w:t>
      </w:r>
      <w:r w:rsidRPr="00734759">
        <w:rPr>
          <w:rFonts w:cs="Times New Roman"/>
          <w:i/>
          <w:iCs/>
        </w:rPr>
        <w:t xml:space="preserve"> See</w:t>
      </w:r>
      <w:r>
        <w:rPr>
          <w:rFonts w:cs="Times New Roman"/>
        </w:rPr>
        <w:t xml:space="preserve"> Hart &amp; Zingales, </w:t>
      </w:r>
      <w:r w:rsidRPr="00734759">
        <w:rPr>
          <w:rFonts w:cs="Times New Roman"/>
          <w:i/>
          <w:iCs/>
        </w:rPr>
        <w:t>Shareholder Welfare</w:t>
      </w:r>
      <w:r>
        <w:rPr>
          <w:rFonts w:cs="Times New Roman"/>
        </w:rPr>
        <w:t xml:space="preserve">, </w:t>
      </w:r>
      <w:r w:rsidRPr="009C5F31">
        <w:rPr>
          <w:rFonts w:cs="Times New Roman"/>
          <w:i/>
          <w:iCs/>
        </w:rPr>
        <w:t>supra</w:t>
      </w:r>
      <w:r>
        <w:rPr>
          <w:rFonts w:cs="Times New Roman"/>
        </w:rPr>
        <w:t xml:space="preserve"> </w:t>
      </w:r>
      <w:r w:rsidRPr="00624515">
        <w:rPr>
          <w:rFonts w:cs="Times New Roman"/>
          <w:iCs/>
        </w:rPr>
        <w:t xml:space="preserve">note </w:t>
      </w:r>
      <w:r w:rsidRPr="00624515">
        <w:rPr>
          <w:rFonts w:cs="Times New Roman"/>
          <w:iCs/>
        </w:rPr>
        <w:fldChar w:fldCharType="begin"/>
      </w:r>
      <w:r w:rsidRPr="00624515">
        <w:rPr>
          <w:rFonts w:cs="Times New Roman"/>
          <w:iCs/>
        </w:rPr>
        <w:instrText xml:space="preserve"> NOTEREF _Ref180496848 \h </w:instrText>
      </w:r>
      <w:r>
        <w:rPr>
          <w:rFonts w:cs="Times New Roman"/>
          <w:iCs/>
        </w:rPr>
        <w:instrText xml:space="preserve"> \* MERGEFORMAT </w:instrText>
      </w:r>
      <w:r w:rsidRPr="00624515">
        <w:rPr>
          <w:rFonts w:cs="Times New Roman"/>
          <w:iCs/>
        </w:rPr>
      </w:r>
      <w:r w:rsidRPr="00624515">
        <w:rPr>
          <w:rFonts w:cs="Times New Roman"/>
          <w:iCs/>
        </w:rPr>
        <w:fldChar w:fldCharType="separate"/>
      </w:r>
      <w:r w:rsidR="005B5BC3">
        <w:rPr>
          <w:rFonts w:cs="Times New Roman"/>
          <w:iCs/>
        </w:rPr>
        <w:t>42</w:t>
      </w:r>
      <w:r w:rsidRPr="00624515">
        <w:rPr>
          <w:rFonts w:cs="Times New Roman"/>
          <w:iCs/>
        </w:rPr>
        <w:fldChar w:fldCharType="end"/>
      </w:r>
      <w:r>
        <w:rPr>
          <w:rFonts w:cs="Times New Roman"/>
        </w:rPr>
        <w:t xml:space="preserve">. </w:t>
      </w:r>
      <w:r w:rsidRPr="005E3083">
        <w:rPr>
          <w:rFonts w:cs="Times New Roman"/>
        </w:rPr>
        <w:t xml:space="preserve">They, however, do not provide any normative justification for this why it is an important policy goal to maximize the welfare of this particular class of persons as opposed to trying to maximize </w:t>
      </w:r>
      <w:r>
        <w:rPr>
          <w:rFonts w:cs="Times New Roman"/>
        </w:rPr>
        <w:t xml:space="preserve">the welfare of </w:t>
      </w:r>
      <w:r w:rsidRPr="005E3083">
        <w:rPr>
          <w:rFonts w:cs="Times New Roman"/>
        </w:rPr>
        <w:t>society as a whole</w:t>
      </w:r>
      <w:r>
        <w:rPr>
          <w:rFonts w:cs="Times New Roman"/>
        </w:rPr>
        <w:t xml:space="preserve">. </w:t>
      </w:r>
      <w:r w:rsidRPr="005E3083">
        <w:rPr>
          <w:rFonts w:cs="Times New Roman"/>
        </w:rPr>
        <w:t>Nor do they explicitly recognize that the only way that their proposal would increase shareholder welfare is because of the empathetic pleasure that a firm’s shareholders would accrue from net reductions in Kaldor-Hicks inefficiencies</w:t>
      </w:r>
      <w:r>
        <w:rPr>
          <w:rFonts w:cs="Times New Roman"/>
        </w:rPr>
        <w:t xml:space="preserve">. </w:t>
      </w:r>
      <w:r w:rsidRPr="005E3083">
        <w:rPr>
          <w:rFonts w:cs="Times New Roman"/>
        </w:rPr>
        <w:t xml:space="preserve"> </w:t>
      </w:r>
    </w:p>
  </w:footnote>
  <w:footnote w:id="54">
    <w:p w14:paraId="3B0A3115" w14:textId="28DE89C4" w:rsidR="006F1644" w:rsidRPr="005E3083" w:rsidRDefault="006F1644" w:rsidP="00975FEC">
      <w:pPr>
        <w:pStyle w:val="FootnoteText"/>
        <w:jc w:val="both"/>
        <w:rPr>
          <w:rFonts w:cs="Times New Roman"/>
        </w:rPr>
      </w:pPr>
      <w:r w:rsidRPr="005E3083">
        <w:rPr>
          <w:rStyle w:val="FootnoteReference"/>
          <w:rFonts w:cs="Times New Roman"/>
        </w:rPr>
        <w:footnoteRef/>
      </w:r>
      <w:r w:rsidRPr="005E3083">
        <w:rPr>
          <w:rFonts w:cs="Times New Roman"/>
        </w:rPr>
        <w:t xml:space="preserve"> This may seem like a modest benefit to cost ratio from eliminating an externality, thereby suggesting X could have an even small</w:t>
      </w:r>
      <w:r>
        <w:rPr>
          <w:rFonts w:cs="Times New Roman"/>
        </w:rPr>
        <w:t>er</w:t>
      </w:r>
      <w:r w:rsidRPr="005E3083">
        <w:rPr>
          <w:rFonts w:cs="Times New Roman"/>
        </w:rPr>
        <w:t xml:space="preserve"> empathy factor and still favor the deviation. It should be noted, however, that the more glaring   externalities are </w:t>
      </w:r>
      <w:r>
        <w:rPr>
          <w:rFonts w:cs="Times New Roman"/>
        </w:rPr>
        <w:t xml:space="preserve">likely to </w:t>
      </w:r>
      <w:r w:rsidRPr="005E3083">
        <w:rPr>
          <w:rFonts w:cs="Times New Roman"/>
        </w:rPr>
        <w:t>already the targets of government regulation since on average the most political energy would be devoted to correcting them.</w:t>
      </w:r>
    </w:p>
  </w:footnote>
  <w:footnote w:id="55">
    <w:p w14:paraId="7AA334FB" w14:textId="343CA315" w:rsidR="006F1644" w:rsidRDefault="006F1644" w:rsidP="00D97F74">
      <w:pPr>
        <w:pStyle w:val="FootnoteText"/>
      </w:pPr>
      <w:r>
        <w:rPr>
          <w:rStyle w:val="FootnoteReference"/>
        </w:rPr>
        <w:footnoteRef/>
      </w:r>
      <w:r>
        <w:t xml:space="preserve"> Note that as shareholder X’s equity interest increases, she needs to receive higher empathetic pleasure from elimination of the externality to support its elimination, all else equal. In the example above, it is therefore much less likely that a controlling shareholder or a shareholder of a closely held corporation will want to eliminate the externality. This point is the basis of Kahan and Rock’s observation that even if society somehow were able to rely on dispersed ownership firms to rectify social ills by leveraging their shareholders’ preferences to affect social change, that would at best be a partial solution because the shareholders of other important corporation types would not as readily follow suit. </w:t>
      </w:r>
      <w:r w:rsidRPr="007C0884">
        <w:rPr>
          <w:i/>
          <w:iCs/>
        </w:rPr>
        <w:t>See</w:t>
      </w:r>
      <w:r>
        <w:t xml:space="preserve"> Marcel Kahan &amp; Edward Rock, </w:t>
      </w:r>
      <w:r w:rsidRPr="007C0884">
        <w:rPr>
          <w:i/>
          <w:iCs/>
        </w:rPr>
        <w:t>Corporate Governance Welfarism</w:t>
      </w:r>
      <w:r>
        <w:t xml:space="preserve">, 15 </w:t>
      </w:r>
      <w:r w:rsidRPr="00000FA4">
        <w:rPr>
          <w:smallCaps/>
        </w:rPr>
        <w:t>J. Legal Analysis</w:t>
      </w:r>
      <w:r>
        <w:t xml:space="preserve"> 108, 122-23 (2023).  </w:t>
      </w:r>
    </w:p>
  </w:footnote>
  <w:footnote w:id="56">
    <w:p w14:paraId="5A5E60F4" w14:textId="126C92DF" w:rsidR="00DA4567" w:rsidRDefault="00DA4567">
      <w:pPr>
        <w:pStyle w:val="FootnoteText"/>
      </w:pPr>
      <w:r>
        <w:rPr>
          <w:rStyle w:val="FootnoteReference"/>
        </w:rPr>
        <w:footnoteRef/>
      </w:r>
      <w:r>
        <w:t xml:space="preserve"> </w:t>
      </w:r>
      <w:r w:rsidRPr="00721437">
        <w:rPr>
          <w:rFonts w:cs="Times New Roman"/>
        </w:rPr>
        <w:t xml:space="preserve">In the H&amp;Z model, if a shareholder is asked to vote on whether a corporation should engage in a behavior that will maximize share value but which, because the maximization would occur in the presence of some market imperfection, is not Kaldor-Hicks efficient, she will feel a sense of responsibility for that behavior.  To the extent that she is an empathetic person, if the corporation deviates from that behavior so as to behave in a fashion that was less profitable but was Kaldor-Hicks efficient, she would enjoy some net pleasure since by definition the gainers gains would exceed losers’ losses.  In deciding how to vote, she would weigh that net pleasure against her pro-rata share of the decline in share value.  We find this sense-of-responsibility concept a little questionable since the likelihood that her vote will change anything is vanishingly small.  </w:t>
      </w:r>
      <w:r>
        <w:rPr>
          <w:rFonts w:cs="Times New Roman"/>
        </w:rPr>
        <w:t xml:space="preserve">Perhaps </w:t>
      </w:r>
      <w:r w:rsidRPr="00721437">
        <w:rPr>
          <w:rFonts w:cs="Times New Roman"/>
        </w:rPr>
        <w:t xml:space="preserve">H&amp;Z adopt it because the very existence of the vote would tweak each shareholder’s conscience.  That though raises the interesting question of who would call for this conscience tweaking vote in the first place.  We would find a more realistic assumption (and one that would not change the core of their results) to be that when an investor wants the corporation to change behavior, it is not because she is a shareholder. She would want it to change even if she were </w:t>
      </w:r>
      <w:r w:rsidRPr="00721437">
        <w:rPr>
          <w:rFonts w:cs="Times New Roman"/>
          <w:i/>
        </w:rPr>
        <w:t xml:space="preserve">not </w:t>
      </w:r>
      <w:r w:rsidRPr="00721437">
        <w:rPr>
          <w:rFonts w:cs="Times New Roman"/>
        </w:rPr>
        <w:t xml:space="preserve">a shareholder, indeed even more intensely. She is an empathetic person who, if she were not a shareholder, would unambiguously enjoy net pleasure if the corporation would change: the fact that the deviation results in a net gain to society means that the joy she would receive from the gainers’ gains would exceed the sadness she would feel for the losers’ losses. She </w:t>
      </w:r>
      <w:r w:rsidRPr="00721437">
        <w:rPr>
          <w:rFonts w:cs="Times New Roman"/>
          <w:i/>
        </w:rPr>
        <w:t>is</w:t>
      </w:r>
      <w:r w:rsidRPr="00721437">
        <w:rPr>
          <w:rFonts w:cs="Times New Roman"/>
        </w:rPr>
        <w:t xml:space="preserve"> a shareholder, however. This means, on the one hand, that under the subject-broadening reform, she would be able to vote to have the corporation change, but, on the other, she will be one of the losers in terms of the resulting loss in share value.</w:t>
      </w:r>
    </w:p>
  </w:footnote>
  <w:footnote w:id="57">
    <w:p w14:paraId="1109B4A5" w14:textId="73DD1481" w:rsidR="006F1644" w:rsidRPr="005E3083" w:rsidRDefault="006F1644" w:rsidP="00975FEC">
      <w:pPr>
        <w:pStyle w:val="FootnoteText"/>
        <w:jc w:val="both"/>
        <w:rPr>
          <w:rFonts w:cs="Times New Roman"/>
        </w:rPr>
      </w:pPr>
      <w:r w:rsidRPr="005E3083">
        <w:rPr>
          <w:rStyle w:val="FootnoteReference"/>
          <w:rFonts w:cs="Times New Roman"/>
        </w:rPr>
        <w:footnoteRef/>
      </w:r>
      <w:r w:rsidRPr="005E3083">
        <w:rPr>
          <w:rFonts w:cs="Times New Roman"/>
        </w:rPr>
        <w:t xml:space="preserve"> For H&amp;Z, the vicarious pleasure that people obtain from the elimination of an externality elimination is like a public good. Its cost is fixed and everyone enjoys it</w:t>
      </w:r>
      <w:r>
        <w:rPr>
          <w:rFonts w:cs="Times New Roman"/>
        </w:rPr>
        <w:t xml:space="preserve">. </w:t>
      </w:r>
      <w:r w:rsidRPr="005E3083">
        <w:rPr>
          <w:rFonts w:cs="Times New Roman"/>
        </w:rPr>
        <w:t>The larger the group across which the fixed cost can be spread, the less is the burden among each of the persons paying and the thus the more likely to will be created</w:t>
      </w:r>
      <w:r>
        <w:rPr>
          <w:rFonts w:cs="Times New Roman"/>
        </w:rPr>
        <w:t xml:space="preserve">. </w:t>
      </w:r>
    </w:p>
  </w:footnote>
  <w:footnote w:id="58">
    <w:p w14:paraId="3C63D264" w14:textId="1C965640" w:rsidR="006F1644" w:rsidRPr="005E3083" w:rsidRDefault="006F1644" w:rsidP="00975FEC">
      <w:pPr>
        <w:pStyle w:val="FootnoteText"/>
        <w:jc w:val="both"/>
        <w:rPr>
          <w:rFonts w:cs="Times New Roman"/>
          <w:b/>
        </w:rPr>
      </w:pPr>
      <w:r w:rsidRPr="005E3083">
        <w:rPr>
          <w:rStyle w:val="FootnoteReference"/>
          <w:rFonts w:cs="Times New Roman"/>
        </w:rPr>
        <w:footnoteRef/>
      </w:r>
      <w:r w:rsidRPr="005E3083">
        <w:rPr>
          <w:rFonts w:cs="Times New Roman"/>
        </w:rPr>
        <w:t xml:space="preserve"> </w:t>
      </w:r>
      <w:r w:rsidRPr="001C4DB2">
        <w:rPr>
          <w:rFonts w:cs="Times New Roman"/>
          <w:i/>
          <w:iCs/>
        </w:rPr>
        <w:t>See</w:t>
      </w:r>
      <w:r w:rsidRPr="005E3083">
        <w:rPr>
          <w:rFonts w:cs="Times New Roman"/>
        </w:rPr>
        <w:t xml:space="preserve"> Bartlett </w:t>
      </w:r>
      <w:r>
        <w:rPr>
          <w:rFonts w:cs="Times New Roman"/>
        </w:rPr>
        <w:t>&amp;</w:t>
      </w:r>
      <w:r w:rsidRPr="005E3083">
        <w:rPr>
          <w:rFonts w:cs="Times New Roman"/>
        </w:rPr>
        <w:t xml:space="preserve"> Bubb,</w:t>
      </w:r>
      <w:r w:rsidRPr="005E3083">
        <w:rPr>
          <w:rFonts w:cs="Times New Roman"/>
          <w:i/>
          <w:iCs/>
        </w:rPr>
        <w:t xml:space="preserve"> supra</w:t>
      </w:r>
      <w:r w:rsidRPr="005E3083">
        <w:rPr>
          <w:rFonts w:cs="Times New Roman"/>
        </w:rPr>
        <w:t xml:space="preserve"> note</w:t>
      </w:r>
      <w:r>
        <w:rPr>
          <w:rFonts w:cs="Times New Roman"/>
        </w:rPr>
        <w:t xml:space="preserve"> </w:t>
      </w:r>
      <w:r>
        <w:rPr>
          <w:rFonts w:cs="Times New Roman"/>
        </w:rPr>
        <w:fldChar w:fldCharType="begin"/>
      </w:r>
      <w:r>
        <w:rPr>
          <w:rFonts w:cs="Times New Roman"/>
        </w:rPr>
        <w:instrText xml:space="preserve"> NOTEREF _Ref178624775 \h </w:instrText>
      </w:r>
      <w:r>
        <w:rPr>
          <w:rFonts w:cs="Times New Roman"/>
        </w:rPr>
      </w:r>
      <w:r>
        <w:rPr>
          <w:rFonts w:cs="Times New Roman"/>
        </w:rPr>
        <w:fldChar w:fldCharType="separate"/>
      </w:r>
      <w:r w:rsidR="005B5BC3">
        <w:rPr>
          <w:rFonts w:cs="Times New Roman"/>
        </w:rPr>
        <w:t>37</w:t>
      </w:r>
      <w:r>
        <w:rPr>
          <w:rFonts w:cs="Times New Roman"/>
        </w:rPr>
        <w:fldChar w:fldCharType="end"/>
      </w:r>
      <w:r w:rsidRPr="005E3083">
        <w:rPr>
          <w:rFonts w:cs="Times New Roman"/>
        </w:rPr>
        <w:t xml:space="preserve">, at </w:t>
      </w:r>
      <w:r>
        <w:rPr>
          <w:rFonts w:cs="Times New Roman"/>
        </w:rPr>
        <w:t>475-76</w:t>
      </w:r>
      <w:r w:rsidRPr="005E3083">
        <w:rPr>
          <w:rFonts w:cs="Times New Roman"/>
        </w:rPr>
        <w:t xml:space="preserve"> &amp; </w:t>
      </w:r>
      <w:r>
        <w:rPr>
          <w:rFonts w:cs="Times New Roman"/>
        </w:rPr>
        <w:t>481-82</w:t>
      </w:r>
      <w:r w:rsidRPr="005E3083">
        <w:rPr>
          <w:rFonts w:cs="Times New Roman"/>
        </w:rPr>
        <w:t>.</w:t>
      </w:r>
    </w:p>
  </w:footnote>
  <w:footnote w:id="59">
    <w:p w14:paraId="27819CDD" w14:textId="7D08FC65" w:rsidR="006F1644" w:rsidRDefault="006F1644" w:rsidP="002C64D4">
      <w:pPr>
        <w:pStyle w:val="FootnoteText"/>
      </w:pPr>
      <w:r>
        <w:rPr>
          <w:rStyle w:val="FootnoteReference"/>
        </w:rPr>
        <w:footnoteRef/>
      </w:r>
      <w:r>
        <w:t xml:space="preserve"> </w:t>
      </w:r>
      <w:r w:rsidRPr="00624515">
        <w:rPr>
          <w:i/>
          <w:iCs/>
        </w:rPr>
        <w:t>See, e.g.</w:t>
      </w:r>
      <w:r>
        <w:t xml:space="preserve">, </w:t>
      </w:r>
      <w:r w:rsidRPr="006504DD">
        <w:t xml:space="preserve">Mark J. Roe, </w:t>
      </w:r>
      <w:r w:rsidRPr="00624515">
        <w:rPr>
          <w:i/>
          <w:iCs/>
        </w:rPr>
        <w:t>The Shareholder Wealth Maximization Norm and Industrial Organization</w:t>
      </w:r>
      <w:r w:rsidRPr="006504DD">
        <w:t xml:space="preserve">, 149 </w:t>
      </w:r>
      <w:r w:rsidRPr="00624515">
        <w:rPr>
          <w:smallCaps/>
        </w:rPr>
        <w:t>U. Pa. L. Rev.</w:t>
      </w:r>
      <w:r>
        <w:t xml:space="preserve"> </w:t>
      </w:r>
      <w:r w:rsidRPr="006504DD">
        <w:t>2063, 2065 (2001)</w:t>
      </w:r>
      <w:r>
        <w:t xml:space="preserve">.  Roe suggests that </w:t>
      </w:r>
      <w:r w:rsidRPr="00AB4E5C">
        <w:rPr>
          <w:rFonts w:cs="Times New Roman"/>
        </w:rPr>
        <w:t>changes to allow deviations from share value maximization undermine managerial accountability and raise agency costs by more readily allowing corporate managers to pursue their own personal agendas</w:t>
      </w:r>
      <w:r>
        <w:rPr>
          <w:rFonts w:cs="Times New Roman"/>
        </w:rPr>
        <w:t>.  These</w:t>
      </w:r>
      <w:r w:rsidRPr="00AB4E5C">
        <w:rPr>
          <w:rFonts w:cs="Times New Roman"/>
        </w:rPr>
        <w:t xml:space="preserve"> consequences would in turn would impair not just the interests of the corporation’s shareholders, but also the </w:t>
      </w:r>
      <w:r>
        <w:rPr>
          <w:rFonts w:cs="Times New Roman"/>
        </w:rPr>
        <w:t xml:space="preserve">persons that deviations are </w:t>
      </w:r>
      <w:r w:rsidRPr="00AB4E5C">
        <w:rPr>
          <w:rFonts w:cs="Times New Roman"/>
        </w:rPr>
        <w:t>supposed to benefit, and also undermine economic progress and social welfare more generally</w:t>
      </w:r>
      <w:r w:rsidRPr="006504DD">
        <w:t>.</w:t>
      </w:r>
    </w:p>
  </w:footnote>
  <w:footnote w:id="60">
    <w:p w14:paraId="53564858" w14:textId="4159D9DA" w:rsidR="006F1644" w:rsidRPr="009B3D38" w:rsidRDefault="006F1644" w:rsidP="00F14A2D">
      <w:r w:rsidRPr="005E3083">
        <w:rPr>
          <w:rStyle w:val="FootnoteReference"/>
          <w:rFonts w:cs="Times New Roman"/>
        </w:rPr>
        <w:footnoteRef/>
      </w:r>
      <w:r w:rsidRPr="005E3083">
        <w:rPr>
          <w:rFonts w:cs="Times New Roman"/>
        </w:rPr>
        <w:t xml:space="preserve"> </w:t>
      </w:r>
      <w:r w:rsidRPr="006A40F1">
        <w:rPr>
          <w:rFonts w:ascii="Times New Roman" w:hAnsi="Times New Roman" w:cs="Times New Roman"/>
          <w:sz w:val="20"/>
          <w:szCs w:val="20"/>
        </w:rPr>
        <w:t xml:space="preserve">In addition, any social choice mechanism, including voting in </w:t>
      </w:r>
      <w:r>
        <w:rPr>
          <w:rFonts w:ascii="Times New Roman" w:hAnsi="Times New Roman" w:cs="Times New Roman"/>
          <w:sz w:val="20"/>
          <w:szCs w:val="20"/>
        </w:rPr>
        <w:t>either</w:t>
      </w:r>
      <w:r w:rsidRPr="006A40F1">
        <w:rPr>
          <w:rFonts w:ascii="Times New Roman" w:hAnsi="Times New Roman" w:cs="Times New Roman"/>
          <w:sz w:val="20"/>
          <w:szCs w:val="20"/>
        </w:rPr>
        <w:t xml:space="preserve"> the public sphere and the corporate one, is subject to Arrow’s Impossibility Theorem, which shows that no social choice mechanism, i.e., any mapping of individual preferences to collective choice, can simultaneously satisfy a set of reasonable properties. Whether broadening the mandate as a supplement to public regulation ameliorates or aggravates the problem is worthy of further investigation. In this connection, </w:t>
      </w:r>
      <w:r w:rsidRPr="001C4DB2">
        <w:rPr>
          <w:rFonts w:ascii="Times New Roman" w:hAnsi="Times New Roman" w:cs="Times New Roman"/>
          <w:sz w:val="20"/>
          <w:szCs w:val="20"/>
        </w:rPr>
        <w:t>see</w:t>
      </w:r>
      <w:r w:rsidRPr="006A40F1">
        <w:rPr>
          <w:rFonts w:ascii="Times New Roman" w:hAnsi="Times New Roman" w:cs="Times New Roman"/>
          <w:i/>
          <w:sz w:val="20"/>
          <w:szCs w:val="20"/>
        </w:rPr>
        <w:t xml:space="preserve"> </w:t>
      </w:r>
      <w:r w:rsidRPr="006A40F1">
        <w:rPr>
          <w:rFonts w:ascii="Times New Roman" w:hAnsi="Times New Roman" w:cs="Times New Roman"/>
          <w:sz w:val="20"/>
          <w:szCs w:val="20"/>
        </w:rPr>
        <w:t xml:space="preserve">Grant Hayden &amp; Mathew Bodie </w:t>
      </w:r>
      <w:r w:rsidRPr="006A40F1">
        <w:rPr>
          <w:rFonts w:ascii="Times New Roman" w:hAnsi="Times New Roman" w:cs="Times New Roman"/>
          <w:i/>
          <w:sz w:val="20"/>
          <w:szCs w:val="20"/>
        </w:rPr>
        <w:t xml:space="preserve">Arrow’s Theorem and the Exclusive Shareholder Franchise, </w:t>
      </w:r>
      <w:r w:rsidRPr="006A40F1">
        <w:rPr>
          <w:rFonts w:ascii="Times New Roman" w:hAnsi="Times New Roman" w:cs="Times New Roman"/>
          <w:sz w:val="20"/>
          <w:szCs w:val="20"/>
        </w:rPr>
        <w:t xml:space="preserve">62 </w:t>
      </w:r>
      <w:r w:rsidRPr="001C4DB2">
        <w:rPr>
          <w:rFonts w:ascii="Times New Roman" w:hAnsi="Times New Roman" w:cs="Times New Roman"/>
          <w:smallCaps/>
          <w:sz w:val="20"/>
          <w:szCs w:val="20"/>
        </w:rPr>
        <w:t>Vand. L. Rev.</w:t>
      </w:r>
      <w:r w:rsidRPr="006A40F1">
        <w:rPr>
          <w:rFonts w:ascii="Times New Roman" w:hAnsi="Times New Roman" w:cs="Times New Roman"/>
          <w:sz w:val="20"/>
          <w:szCs w:val="20"/>
        </w:rPr>
        <w:t xml:space="preserve"> 1217 (2009)</w:t>
      </w:r>
      <w:r>
        <w:rPr>
          <w:rFonts w:ascii="Times New Roman" w:hAnsi="Times New Roman" w:cs="Times New Roman"/>
          <w:sz w:val="20"/>
          <w:szCs w:val="20"/>
        </w:rPr>
        <w:t xml:space="preserve"> (analyzing the shareholder vote in isolation, disputing that the theorem justifies shareholder primacy).</w:t>
      </w:r>
    </w:p>
    <w:p w14:paraId="79CFB46B" w14:textId="70588202" w:rsidR="006F1644" w:rsidRPr="006A40F1" w:rsidRDefault="006F1644" w:rsidP="00975FEC">
      <w:pPr>
        <w:pStyle w:val="FootnoteText"/>
        <w:jc w:val="both"/>
        <w:rPr>
          <w:rFonts w:cs="Times New Roman"/>
          <w:bCs/>
        </w:rPr>
      </w:pPr>
    </w:p>
  </w:footnote>
  <w:footnote w:id="61">
    <w:p w14:paraId="61385976" w14:textId="5C375B30" w:rsidR="006F1644" w:rsidRPr="005E3083" w:rsidRDefault="006F1644" w:rsidP="00975FEC">
      <w:pPr>
        <w:pStyle w:val="FootnoteText"/>
        <w:jc w:val="both"/>
        <w:rPr>
          <w:rFonts w:cs="Times New Roman"/>
        </w:rPr>
      </w:pPr>
      <w:r w:rsidRPr="005E3083">
        <w:rPr>
          <w:rStyle w:val="FootnoteReference"/>
          <w:rFonts w:cs="Times New Roman"/>
        </w:rPr>
        <w:footnoteRef/>
      </w:r>
      <w:r w:rsidRPr="005E3083">
        <w:rPr>
          <w:rFonts w:cs="Times New Roman"/>
        </w:rPr>
        <w:t xml:space="preserve"> It should be noted, though, that a key reason why many tax scholars favor the corporate income tax is that it is an easier way to extract tax revenues from very wealthy people than taxing them directly, but this reasoning is subject to the same objection.</w:t>
      </w:r>
      <w:r>
        <w:rPr>
          <w:rFonts w:cs="Times New Roman"/>
        </w:rPr>
        <w:t xml:space="preserve"> </w:t>
      </w:r>
    </w:p>
  </w:footnote>
  <w:footnote w:id="62">
    <w:p w14:paraId="65274360" w14:textId="79033166" w:rsidR="006F1644" w:rsidRDefault="006F1644" w:rsidP="00975FEC">
      <w:pPr>
        <w:pStyle w:val="FootnoteText"/>
        <w:jc w:val="both"/>
      </w:pPr>
      <w:r>
        <w:rPr>
          <w:rStyle w:val="FootnoteReference"/>
        </w:rPr>
        <w:footnoteRef/>
      </w:r>
      <w:r>
        <w:t xml:space="preserve"> It might be argued that the redistribution motivated deviation from share value maximization would be in the form of goods or services that the corporation is particularly well suited to provide, whereas the alternative involves providing the beneficiaries cash. This argument, though, raises a variety of additional issues. One response would be that if the recipients instead receive cash but in fact want the service or good, the corporation would likely be perfectly happy to supply it at market prices in return for this cash. And if they would rather have some other product or service, they are better off with receiving cash. But there are, in turn, replies to this response. One is that no market accessible to the recipients may develop by which they would be able to acquire the service or good. Another is that the persons wishing the redistribution only wish to bestow on the less well off the corporation’s particular service or product, not cash.  This reply, though, is yet in turn subject to questions concerning paternalism and why they could not buy the service or product to give to the beneficiaries. </w:t>
      </w:r>
    </w:p>
  </w:footnote>
  <w:footnote w:id="63">
    <w:p w14:paraId="49CCFD53" w14:textId="5C2C6913" w:rsidR="006F1644" w:rsidRPr="00A071CB" w:rsidRDefault="006F1644" w:rsidP="00975FEC">
      <w:pPr>
        <w:pStyle w:val="FootnoteText"/>
        <w:jc w:val="both"/>
        <w:rPr>
          <w:rFonts w:cs="Times New Roman"/>
        </w:rPr>
      </w:pPr>
      <w:r w:rsidRPr="005E3083">
        <w:rPr>
          <w:rStyle w:val="FootnoteReference"/>
          <w:rFonts w:cs="Times New Roman"/>
        </w:rPr>
        <w:footnoteRef/>
      </w:r>
      <w:r w:rsidRPr="005E3083">
        <w:rPr>
          <w:rFonts w:cs="Times New Roman"/>
        </w:rPr>
        <w:t xml:space="preserve"> </w:t>
      </w:r>
      <w:r w:rsidRPr="005E3083">
        <w:rPr>
          <w:rFonts w:cs="Times New Roman"/>
          <w:i/>
          <w:iCs/>
        </w:rPr>
        <w:t xml:space="preserve">See </w:t>
      </w:r>
      <w:r w:rsidRPr="005E3083">
        <w:rPr>
          <w:rFonts w:cs="Times New Roman"/>
        </w:rPr>
        <w:t xml:space="preserve">Hansmann, </w:t>
      </w:r>
      <w:r w:rsidRPr="005E3083">
        <w:rPr>
          <w:rFonts w:cs="Times New Roman"/>
          <w:i/>
          <w:iCs/>
        </w:rPr>
        <w:t xml:space="preserve">supra </w:t>
      </w:r>
      <w:r w:rsidRPr="005E3083">
        <w:rPr>
          <w:rFonts w:cs="Times New Roman"/>
        </w:rPr>
        <w:t>note</w:t>
      </w:r>
      <w:r>
        <w:rPr>
          <w:rFonts w:cs="Times New Roman"/>
        </w:rPr>
        <w:t xml:space="preserve"> </w:t>
      </w:r>
      <w:r>
        <w:rPr>
          <w:rFonts w:cs="Times New Roman"/>
        </w:rPr>
        <w:fldChar w:fldCharType="begin"/>
      </w:r>
      <w:r>
        <w:rPr>
          <w:rFonts w:cs="Times New Roman"/>
        </w:rPr>
        <w:instrText xml:space="preserve"> NOTEREF _Ref178621612 \h </w:instrText>
      </w:r>
      <w:r>
        <w:rPr>
          <w:rFonts w:cs="Times New Roman"/>
        </w:rPr>
      </w:r>
      <w:r>
        <w:rPr>
          <w:rFonts w:cs="Times New Roman"/>
        </w:rPr>
        <w:fldChar w:fldCharType="separate"/>
      </w:r>
      <w:r w:rsidR="005B5BC3">
        <w:rPr>
          <w:rFonts w:cs="Times New Roman"/>
        </w:rPr>
        <w:t>5</w:t>
      </w:r>
      <w:r>
        <w:rPr>
          <w:rFonts w:cs="Times New Roman"/>
        </w:rPr>
        <w:fldChar w:fldCharType="end"/>
      </w:r>
      <w:r>
        <w:rPr>
          <w:rFonts w:cs="Times New Roman"/>
        </w:rPr>
        <w:t xml:space="preserve">. </w:t>
      </w:r>
      <w:r>
        <w:rPr>
          <w:rFonts w:cs="Times New Roman"/>
          <w:i/>
        </w:rPr>
        <w:t>See also</w:t>
      </w:r>
      <w:r>
        <w:rPr>
          <w:rFonts w:cs="Times New Roman"/>
        </w:rPr>
        <w:t xml:space="preserve"> </w:t>
      </w:r>
      <w:r w:rsidRPr="006A40F1">
        <w:rPr>
          <w:rFonts w:cs="Times New Roman"/>
        </w:rPr>
        <w:t xml:space="preserve">Eugene Fama, </w:t>
      </w:r>
      <w:r w:rsidRPr="006A40F1">
        <w:rPr>
          <w:rFonts w:cs="Times New Roman"/>
          <w:i/>
          <w:iCs/>
        </w:rPr>
        <w:t>Contract Costs and Financing Decisions</w:t>
      </w:r>
      <w:r w:rsidRPr="006A40F1">
        <w:rPr>
          <w:rFonts w:cs="Times New Roman"/>
        </w:rPr>
        <w:t>, 63 J</w:t>
      </w:r>
      <w:r w:rsidR="008E152C">
        <w:rPr>
          <w:rFonts w:cs="Times New Roman"/>
        </w:rPr>
        <w:t xml:space="preserve">. </w:t>
      </w:r>
      <w:r w:rsidRPr="006A40F1">
        <w:rPr>
          <w:rFonts w:cs="Times New Roman"/>
        </w:rPr>
        <w:t>BUS. 571 (1990)</w:t>
      </w:r>
    </w:p>
  </w:footnote>
  <w:footnote w:id="64">
    <w:p w14:paraId="581F43D9" w14:textId="77777777" w:rsidR="006F1644" w:rsidRPr="005E3083" w:rsidRDefault="006F1644" w:rsidP="00975FEC">
      <w:pPr>
        <w:pStyle w:val="BodyText"/>
        <w:jc w:val="both"/>
        <w:rPr>
          <w:sz w:val="20"/>
          <w:szCs w:val="20"/>
        </w:rPr>
      </w:pPr>
      <w:r w:rsidRPr="005E3083">
        <w:rPr>
          <w:rStyle w:val="FootnoteReference"/>
          <w:sz w:val="20"/>
          <w:szCs w:val="20"/>
        </w:rPr>
        <w:footnoteRef/>
      </w:r>
      <w:r w:rsidRPr="005E3083">
        <w:rPr>
          <w:sz w:val="20"/>
          <w:szCs w:val="20"/>
        </w:rPr>
        <w:t xml:space="preserve"> Merritt B. Fox &amp; Menesh S. Patel, </w:t>
      </w:r>
      <w:r w:rsidRPr="005E3083">
        <w:rPr>
          <w:i/>
          <w:sz w:val="20"/>
          <w:szCs w:val="20"/>
        </w:rPr>
        <w:t xml:space="preserve">Common Ownership: Do Managers Really Compete Less, </w:t>
      </w:r>
      <w:r w:rsidRPr="005E3083">
        <w:rPr>
          <w:sz w:val="20"/>
          <w:szCs w:val="20"/>
        </w:rPr>
        <w:t xml:space="preserve">39 </w:t>
      </w:r>
      <w:r w:rsidRPr="005E3083">
        <w:rPr>
          <w:smallCaps/>
          <w:sz w:val="20"/>
          <w:szCs w:val="20"/>
        </w:rPr>
        <w:t>Yale J. Reg. 136 (2022)</w:t>
      </w:r>
    </w:p>
  </w:footnote>
  <w:footnote w:id="65">
    <w:p w14:paraId="427ACED9" w14:textId="77777777" w:rsidR="006F1644" w:rsidRPr="005E3083" w:rsidRDefault="006F1644" w:rsidP="00975FEC">
      <w:pPr>
        <w:pStyle w:val="FootnoteText"/>
        <w:jc w:val="both"/>
        <w:rPr>
          <w:rFonts w:cs="Times New Roman"/>
        </w:rPr>
      </w:pPr>
      <w:r w:rsidRPr="005E3083">
        <w:rPr>
          <w:rStyle w:val="FootnoteReference"/>
          <w:rFonts w:cs="Times New Roman"/>
        </w:rPr>
        <w:footnoteRef/>
      </w:r>
      <w:r w:rsidRPr="005E3083">
        <w:rPr>
          <w:rFonts w:cs="Times New Roman"/>
        </w:rPr>
        <w:t xml:space="preserve"> </w:t>
      </w:r>
      <w:r w:rsidRPr="005E3083">
        <w:rPr>
          <w:rFonts w:cs="Times New Roman"/>
          <w:i/>
        </w:rPr>
        <w:t>See, e.g.</w:t>
      </w:r>
      <w:r w:rsidRPr="005E3083">
        <w:rPr>
          <w:rFonts w:cs="Times New Roman"/>
        </w:rPr>
        <w:t xml:space="preserve">, José Azar, Martin C. Schmalz &amp; Isabel Tecu, </w:t>
      </w:r>
      <w:r w:rsidRPr="005E3083">
        <w:rPr>
          <w:rFonts w:cs="Times New Roman"/>
          <w:i/>
          <w:iCs/>
        </w:rPr>
        <w:t>Anticompetitive Effects of Common Ownership</w:t>
      </w:r>
      <w:r w:rsidRPr="005E3083">
        <w:rPr>
          <w:rFonts w:cs="Times New Roman"/>
        </w:rPr>
        <w:t xml:space="preserve">, 73 </w:t>
      </w:r>
      <w:r w:rsidRPr="005E3083">
        <w:rPr>
          <w:rFonts w:cs="Times New Roman"/>
          <w:smallCaps/>
        </w:rPr>
        <w:t>J. Fin.</w:t>
      </w:r>
      <w:r w:rsidRPr="005E3083">
        <w:rPr>
          <w:rFonts w:cs="Times New Roman"/>
        </w:rPr>
        <w:t xml:space="preserve"> 1513 (2018).</w:t>
      </w:r>
    </w:p>
  </w:footnote>
  <w:footnote w:id="66">
    <w:p w14:paraId="5F077B68" w14:textId="2604BBE2" w:rsidR="006F1644" w:rsidRDefault="006F1644" w:rsidP="005A4915">
      <w:pPr>
        <w:pStyle w:val="FootnoteText"/>
      </w:pPr>
      <w:r>
        <w:rPr>
          <w:rStyle w:val="FootnoteReference"/>
        </w:rPr>
        <w:footnoteRef/>
      </w:r>
      <w:r>
        <w:t xml:space="preserve"> </w:t>
      </w:r>
      <w:r w:rsidRPr="006C3E06">
        <w:rPr>
          <w:smallCaps/>
        </w:rPr>
        <w:t>Richard Brealey,</w:t>
      </w:r>
      <w:r>
        <w:rPr>
          <w:smallCaps/>
        </w:rPr>
        <w:t xml:space="preserve"> </w:t>
      </w:r>
      <w:r w:rsidR="00011130">
        <w:rPr>
          <w:smallCaps/>
        </w:rPr>
        <w:t>Stewart Meyers, &amp; Franklin Allen</w:t>
      </w:r>
      <w:r>
        <w:rPr>
          <w:smallCaps/>
        </w:rPr>
        <w:t>,</w:t>
      </w:r>
      <w:r w:rsidRPr="00263B0F">
        <w:t xml:space="preserve"> </w:t>
      </w:r>
      <w:r w:rsidRPr="00263B0F">
        <w:rPr>
          <w:smallCaps/>
        </w:rPr>
        <w:t>Principles of Corporate Finance</w:t>
      </w:r>
      <w:r w:rsidRPr="00263B0F">
        <w:t xml:space="preserve"> </w:t>
      </w:r>
      <w:r w:rsidR="00F74C1B">
        <w:t>(</w:t>
      </w:r>
      <w:r w:rsidRPr="00263B0F">
        <w:t>202</w:t>
      </w:r>
      <w:r>
        <w:t>3</w:t>
      </w:r>
      <w:r w:rsidRPr="00263B0F">
        <w:t>).</w:t>
      </w:r>
    </w:p>
    <w:p w14:paraId="43C7CC2E" w14:textId="7D3756A4" w:rsidR="00011130" w:rsidRDefault="00011130" w:rsidP="005A4915">
      <w:pPr>
        <w:pStyle w:val="FootnoteText"/>
      </w:pPr>
    </w:p>
  </w:footnote>
  <w:footnote w:id="67">
    <w:p w14:paraId="5194BAC5" w14:textId="00E93A2A" w:rsidR="006F1644" w:rsidRDefault="006F1644">
      <w:pPr>
        <w:pStyle w:val="FootnoteText"/>
      </w:pPr>
      <w:r>
        <w:rPr>
          <w:rStyle w:val="FootnoteReference"/>
        </w:rPr>
        <w:footnoteRef/>
      </w:r>
      <w:r>
        <w:t xml:space="preserve"> </w:t>
      </w:r>
      <w:r w:rsidRPr="00263B0F">
        <w:rPr>
          <w:i/>
          <w:iCs/>
        </w:rPr>
        <w:t>See</w:t>
      </w:r>
      <w:r w:rsidRPr="00263B0F">
        <w:t xml:space="preserve"> Frank </w:t>
      </w:r>
      <w:r>
        <w:t xml:space="preserve">H. </w:t>
      </w:r>
      <w:r w:rsidRPr="00263B0F">
        <w:t xml:space="preserve">Easterbrook &amp; Daniel R. Fischel, </w:t>
      </w:r>
      <w:r w:rsidRPr="00263B0F">
        <w:rPr>
          <w:i/>
          <w:iCs/>
        </w:rPr>
        <w:t>The Proper Role of a Target</w:t>
      </w:r>
      <w:r>
        <w:rPr>
          <w:i/>
          <w:iCs/>
        </w:rPr>
        <w:t>’</w:t>
      </w:r>
      <w:r w:rsidRPr="00263B0F">
        <w:rPr>
          <w:i/>
          <w:iCs/>
        </w:rPr>
        <w:t>s Management in Responding to a Tender Offer</w:t>
      </w:r>
      <w:r w:rsidRPr="00263B0F">
        <w:t xml:space="preserve">, 94 </w:t>
      </w:r>
      <w:r w:rsidRPr="00263B0F">
        <w:rPr>
          <w:smallCaps/>
        </w:rPr>
        <w:t>Harv. L. Rev.</w:t>
      </w:r>
      <w:r w:rsidRPr="00263B0F">
        <w:t xml:space="preserve"> 1161, 1174 (1981) (“[S]hareholders benefit even if their corporation never is the subject of a tender offer. The process of monitoring by outsiders poses a continuous threat of takeover if performance lags. Managers will attempt to reduce agency costs in order to reduce the chance of takeover, and the process of reducing agency costs leads to higher prices for shares</w:t>
      </w:r>
      <w:r>
        <w:t>.</w:t>
      </w:r>
      <w:r w:rsidRPr="00263B0F">
        <w:t>”)</w:t>
      </w:r>
      <w:r>
        <w:t xml:space="preserve">; </w:t>
      </w:r>
      <w:r>
        <w:rPr>
          <w:i/>
          <w:iCs/>
        </w:rPr>
        <w:t>s</w:t>
      </w:r>
      <w:r w:rsidRPr="00D23126">
        <w:rPr>
          <w:i/>
          <w:iCs/>
        </w:rPr>
        <w:t>ee also</w:t>
      </w:r>
      <w:r>
        <w:rPr>
          <w:i/>
          <w:iCs/>
        </w:rPr>
        <w:t xml:space="preserve"> </w:t>
      </w:r>
      <w:r w:rsidRPr="002B65C4">
        <w:t xml:space="preserve">Andrei Shleifer &amp; Robert W. Vishny, </w:t>
      </w:r>
      <w:r w:rsidRPr="002B65C4">
        <w:rPr>
          <w:i/>
          <w:iCs/>
        </w:rPr>
        <w:t>A Survey of Corporate Governance</w:t>
      </w:r>
      <w:r w:rsidRPr="002B65C4">
        <w:t xml:space="preserve">, 52 </w:t>
      </w:r>
      <w:r w:rsidRPr="002B65C4">
        <w:rPr>
          <w:smallCaps/>
        </w:rPr>
        <w:t>J. Fin.</w:t>
      </w:r>
      <w:r w:rsidRPr="002B65C4">
        <w:t xml:space="preserve"> 737</w:t>
      </w:r>
      <w:r>
        <w:t>, 756</w:t>
      </w:r>
      <w:r w:rsidRPr="002B65C4">
        <w:t xml:space="preserve"> (1997). </w:t>
      </w:r>
      <w:r>
        <w:rPr>
          <w:color w:val="000000"/>
          <w:spacing w:val="-5"/>
        </w:rPr>
        <w:t xml:space="preserve"> (“Takeovers are widely interpreted as the critical corporate governance mechanism in the United States . . . .”).</w:t>
      </w:r>
    </w:p>
  </w:footnote>
  <w:footnote w:id="68">
    <w:p w14:paraId="7C5E2DB3" w14:textId="5355D9EB" w:rsidR="006F1644" w:rsidRPr="005E3083" w:rsidRDefault="006F1644" w:rsidP="00975FEC">
      <w:pPr>
        <w:pStyle w:val="FootnoteText"/>
        <w:jc w:val="both"/>
        <w:rPr>
          <w:rFonts w:cs="Times New Roman"/>
        </w:rPr>
      </w:pPr>
      <w:r w:rsidRPr="005E3083">
        <w:rPr>
          <w:rStyle w:val="FootnoteReference"/>
          <w:rFonts w:cs="Times New Roman"/>
        </w:rPr>
        <w:footnoteRef/>
      </w:r>
      <w:r w:rsidRPr="005E3083">
        <w:rPr>
          <w:rFonts w:cs="Times New Roman"/>
        </w:rPr>
        <w:t xml:space="preserve"> </w:t>
      </w:r>
      <w:r>
        <w:rPr>
          <w:rFonts w:cs="Times New Roman"/>
        </w:rPr>
        <w:t xml:space="preserve">If </w:t>
      </w:r>
      <w:r w:rsidRPr="005E3083">
        <w:rPr>
          <w:rFonts w:cs="Times New Roman"/>
        </w:rPr>
        <w:t>a firm’s managers have already adopted a deviation that a majority of shareholders prefer</w:t>
      </w:r>
      <w:r>
        <w:rPr>
          <w:rFonts w:cs="Times New Roman"/>
        </w:rPr>
        <w:t>, this same majority might be unwilling to sell to an acquirer that would end the deviation since they already indicated a willingness to give up some wealth to further another end</w:t>
      </w:r>
      <w:r w:rsidRPr="005E3083">
        <w:rPr>
          <w:rFonts w:cs="Times New Roman"/>
        </w:rPr>
        <w:t xml:space="preserve">. </w:t>
      </w:r>
      <w:r>
        <w:rPr>
          <w:rFonts w:cs="Times New Roman"/>
        </w:rPr>
        <w:t>And the same consideration might make the takeover more expensive even if there only a minority of such shares since the aquiror may need to acquire a larger portion of the shares of the shareholders not favoring the deviation.  On the other hand, if the shareholders favoring the deviation were not fully informed and hence underestimated the cost involved, the premium offer might make the true cost salient and that might be higher than they are willing to bear.</w:t>
      </w:r>
      <w:r w:rsidRPr="005E3083">
        <w:rPr>
          <w:rFonts w:cs="Times New Roman"/>
        </w:rPr>
        <w:t xml:space="preserve"> </w:t>
      </w:r>
    </w:p>
  </w:footnote>
  <w:footnote w:id="69">
    <w:p w14:paraId="293FB29B" w14:textId="6A062745" w:rsidR="006F1644" w:rsidRDefault="006F1644" w:rsidP="00C84C46">
      <w:pPr>
        <w:pStyle w:val="FootnoteText"/>
      </w:pPr>
      <w:r>
        <w:rPr>
          <w:rStyle w:val="FootnoteReference"/>
        </w:rPr>
        <w:footnoteRef/>
      </w:r>
      <w:r>
        <w:t xml:space="preserve"> </w:t>
      </w:r>
      <w:r w:rsidRPr="00CE7039">
        <w:rPr>
          <w:i/>
          <w:iCs/>
        </w:rPr>
        <w:t>See</w:t>
      </w:r>
      <w:r>
        <w:rPr>
          <w:i/>
          <w:iCs/>
        </w:rPr>
        <w:t>, e.g.,</w:t>
      </w:r>
      <w:r>
        <w:t xml:space="preserve"> Anat R. Admati &amp; Paul Pfleiderer, </w:t>
      </w:r>
      <w:r w:rsidRPr="00CE7039">
        <w:rPr>
          <w:i/>
        </w:rPr>
        <w:t>The “Wall Street Walk” and Shareholder Activism: Exit as a Form of Voice</w:t>
      </w:r>
      <w:r>
        <w:t xml:space="preserve">, 22 </w:t>
      </w:r>
      <w:r w:rsidRPr="00CE7039">
        <w:rPr>
          <w:smallCaps/>
        </w:rPr>
        <w:t>Rev. Fin. Stud.</w:t>
      </w:r>
      <w:r>
        <w:t xml:space="preserve"> 2645, 2647 (2009).</w:t>
      </w:r>
    </w:p>
  </w:footnote>
  <w:footnote w:id="70">
    <w:p w14:paraId="440C282F" w14:textId="1A2ED0A6" w:rsidR="006F1644" w:rsidRPr="005E3083" w:rsidRDefault="006F1644" w:rsidP="008F7038">
      <w:pPr>
        <w:pStyle w:val="FootnoteText"/>
        <w:jc w:val="both"/>
        <w:rPr>
          <w:rFonts w:cs="Times New Roman"/>
        </w:rPr>
      </w:pPr>
      <w:r w:rsidRPr="005E3083">
        <w:rPr>
          <w:rStyle w:val="FootnoteReference"/>
          <w:rFonts w:cs="Times New Roman"/>
        </w:rPr>
        <w:footnoteRef/>
      </w:r>
      <w:r w:rsidRPr="005E3083">
        <w:rPr>
          <w:rFonts w:cs="Times New Roman"/>
        </w:rPr>
        <w:t xml:space="preserve"> </w:t>
      </w:r>
      <w:r w:rsidRPr="005E3083">
        <w:rPr>
          <w:rFonts w:cs="Times New Roman"/>
          <w:i/>
          <w:iCs/>
        </w:rPr>
        <w:t>See, e.g.</w:t>
      </w:r>
      <w:r w:rsidRPr="005E3083">
        <w:rPr>
          <w:rFonts w:cs="Times New Roman"/>
        </w:rPr>
        <w:t xml:space="preserve">, Lawrence R. Glosten &amp; Paul R. Milgrom, </w:t>
      </w:r>
      <w:r w:rsidRPr="005E3083">
        <w:rPr>
          <w:rFonts w:cs="Times New Roman"/>
          <w:i/>
          <w:iCs/>
        </w:rPr>
        <w:t>Bid, Ask, and Transaction Prices in a Specialist Market with Heterogeneously Informed Traders</w:t>
      </w:r>
      <w:r w:rsidRPr="005E3083">
        <w:rPr>
          <w:rFonts w:cs="Times New Roman"/>
        </w:rPr>
        <w:t>, 14 J.</w:t>
      </w:r>
      <w:r w:rsidRPr="005E3083">
        <w:rPr>
          <w:rFonts w:cs="Times New Roman"/>
          <w:smallCaps/>
        </w:rPr>
        <w:t xml:space="preserve"> Fin. Econ.</w:t>
      </w:r>
      <w:r w:rsidRPr="005E3083">
        <w:rPr>
          <w:rFonts w:cs="Times New Roman"/>
        </w:rPr>
        <w:t xml:space="preserve"> 71, 72 (1985); </w:t>
      </w:r>
      <w:r w:rsidRPr="005E3083">
        <w:rPr>
          <w:rFonts w:cs="Times New Roman"/>
          <w:smallCaps/>
        </w:rPr>
        <w:t>Larry Harris, Trading and Exchanges: Market Microstructure for Practitioners</w:t>
      </w:r>
      <w:r w:rsidRPr="005E3083">
        <w:rPr>
          <w:rFonts w:cs="Times New Roman"/>
        </w:rPr>
        <w:t xml:space="preserve"> 300 (2002).</w:t>
      </w:r>
    </w:p>
  </w:footnote>
  <w:footnote w:id="71">
    <w:p w14:paraId="4BDCDCD5" w14:textId="2AD2381C" w:rsidR="006F1644" w:rsidRDefault="006F1644" w:rsidP="006A40F1">
      <w:pPr>
        <w:spacing w:line="247" w:lineRule="auto"/>
        <w:ind w:right="670"/>
      </w:pPr>
      <w:r>
        <w:rPr>
          <w:rStyle w:val="FootnoteReference"/>
        </w:rPr>
        <w:footnoteRef/>
      </w:r>
      <w:r>
        <w:t xml:space="preserve"> </w:t>
      </w:r>
      <w:r w:rsidRPr="006A40F1">
        <w:rPr>
          <w:rFonts w:ascii="Times New Roman" w:hAnsi="Times New Roman" w:cs="Times New Roman"/>
          <w:i/>
          <w:sz w:val="20"/>
          <w:szCs w:val="20"/>
        </w:rPr>
        <w:t>See</w:t>
      </w:r>
      <w:r w:rsidRPr="006A40F1">
        <w:rPr>
          <w:rFonts w:ascii="Times New Roman" w:hAnsi="Times New Roman" w:cs="Times New Roman"/>
          <w:sz w:val="20"/>
          <w:szCs w:val="20"/>
        </w:rPr>
        <w:t xml:space="preserve"> </w:t>
      </w:r>
      <w:r>
        <w:rPr>
          <w:rFonts w:ascii="Times New Roman" w:hAnsi="Times New Roman" w:cs="Times New Roman"/>
          <w:sz w:val="20"/>
          <w:szCs w:val="20"/>
        </w:rPr>
        <w:t xml:space="preserve">Merritt B. Fox, </w:t>
      </w:r>
      <w:r w:rsidRPr="007969CC">
        <w:rPr>
          <w:rFonts w:ascii="Times New Roman" w:hAnsi="Times New Roman" w:cs="Times New Roman"/>
          <w:sz w:val="20"/>
          <w:szCs w:val="20"/>
        </w:rPr>
        <w:t xml:space="preserve">Lawrence R. Glosten </w:t>
      </w:r>
      <w:r>
        <w:rPr>
          <w:rFonts w:ascii="Times New Roman" w:hAnsi="Times New Roman" w:cs="Times New Roman"/>
          <w:sz w:val="20"/>
          <w:szCs w:val="20"/>
        </w:rPr>
        <w:t>&amp;</w:t>
      </w:r>
      <w:r w:rsidRPr="007969CC">
        <w:rPr>
          <w:rFonts w:ascii="Times New Roman" w:hAnsi="Times New Roman" w:cs="Times New Roman"/>
          <w:sz w:val="20"/>
          <w:szCs w:val="20"/>
        </w:rPr>
        <w:t xml:space="preserve"> Gabriel Rauterberg</w:t>
      </w:r>
      <w:r w:rsidRPr="006A40F1">
        <w:rPr>
          <w:rFonts w:ascii="Times New Roman" w:hAnsi="Times New Roman" w:cs="Times New Roman"/>
          <w:i/>
          <w:sz w:val="20"/>
          <w:szCs w:val="20"/>
        </w:rPr>
        <w:t xml:space="preserve"> Informed Trading and Its Regulation, </w:t>
      </w:r>
      <w:r w:rsidRPr="006A40F1">
        <w:rPr>
          <w:rFonts w:ascii="Times New Roman" w:hAnsi="Times New Roman" w:cs="Times New Roman"/>
          <w:sz w:val="20"/>
          <w:szCs w:val="20"/>
        </w:rPr>
        <w:t xml:space="preserve">43 </w:t>
      </w:r>
      <w:r w:rsidRPr="006A40F1">
        <w:rPr>
          <w:rFonts w:ascii="Times New Roman" w:hAnsi="Times New Roman" w:cs="Times New Roman"/>
          <w:smallCaps/>
          <w:sz w:val="20"/>
          <w:szCs w:val="20"/>
        </w:rPr>
        <w:t xml:space="preserve">J. </w:t>
      </w:r>
      <w:r>
        <w:rPr>
          <w:rFonts w:ascii="Times New Roman" w:hAnsi="Times New Roman" w:cs="Times New Roman"/>
          <w:smallCaps/>
          <w:sz w:val="20"/>
          <w:szCs w:val="20"/>
        </w:rPr>
        <w:t>Corp.</w:t>
      </w:r>
      <w:r w:rsidRPr="006A40F1">
        <w:rPr>
          <w:rFonts w:ascii="Times New Roman" w:hAnsi="Times New Roman" w:cs="Times New Roman"/>
          <w:smallCaps/>
          <w:sz w:val="20"/>
          <w:szCs w:val="20"/>
        </w:rPr>
        <w:t xml:space="preserve"> L.</w:t>
      </w:r>
      <w:r w:rsidRPr="006A40F1">
        <w:rPr>
          <w:rFonts w:ascii="Times New Roman" w:hAnsi="Times New Roman" w:cs="Times New Roman"/>
          <w:sz w:val="20"/>
          <w:szCs w:val="20"/>
        </w:rPr>
        <w:t xml:space="preserve"> 817</w:t>
      </w:r>
      <w:r>
        <w:rPr>
          <w:rFonts w:ascii="Times New Roman" w:hAnsi="Times New Roman" w:cs="Times New Roman"/>
          <w:sz w:val="20"/>
          <w:szCs w:val="20"/>
        </w:rPr>
        <w:t>, 827</w:t>
      </w:r>
      <w:r w:rsidRPr="006A40F1">
        <w:rPr>
          <w:rFonts w:ascii="Times New Roman" w:hAnsi="Times New Roman" w:cs="Times New Roman"/>
          <w:sz w:val="20"/>
          <w:szCs w:val="20"/>
        </w:rPr>
        <w:t xml:space="preserve"> (2018) </w:t>
      </w:r>
      <w:r>
        <w:rPr>
          <w:rFonts w:ascii="Times New Roman" w:hAnsi="Times New Roman" w:cs="Times New Roman"/>
          <w:sz w:val="20"/>
          <w:szCs w:val="20"/>
        </w:rPr>
        <w:t>(professional traders who find no new information to justify a price change trade in the opposite direction).</w:t>
      </w:r>
    </w:p>
  </w:footnote>
  <w:footnote w:id="72">
    <w:p w14:paraId="64DE2032" w14:textId="1D32DA7F" w:rsidR="006F1644" w:rsidRDefault="006F1644">
      <w:pPr>
        <w:pStyle w:val="FootnoteText"/>
      </w:pPr>
      <w:r>
        <w:rPr>
          <w:rStyle w:val="FootnoteReference"/>
        </w:rPr>
        <w:footnoteRef/>
      </w:r>
      <w:r>
        <w:t xml:space="preserve"> </w:t>
      </w:r>
      <w:r w:rsidRPr="00263B0F">
        <w:t>The American Law Institute’s Principles of the Law, Corporate Governance: Analysis and Recommendations (ALI Corporate Governance Principles) describe</w:t>
      </w:r>
      <w:r>
        <w:t>s</w:t>
      </w:r>
      <w:r w:rsidRPr="00263B0F">
        <w:t xml:space="preserve"> the duty of care </w:t>
      </w:r>
      <w:r>
        <w:t>as follows</w:t>
      </w:r>
      <w:r w:rsidRPr="00263B0F">
        <w:t>:</w:t>
      </w:r>
      <w:r>
        <w:t xml:space="preserve"> </w:t>
      </w:r>
      <w:r>
        <w:rPr>
          <w:szCs w:val="16"/>
        </w:rPr>
        <w:t>“</w:t>
      </w:r>
      <w:r w:rsidRPr="005B0E88">
        <w:rPr>
          <w:szCs w:val="16"/>
        </w:rPr>
        <w:t>A director or officer has a duty to the corporation to perform the director’s or officer’s functions in good faith, in a manner that [they] reasonably believe[] to be in the best interests of the corporation, and with the care that an ordinarily prudent person would reasonably be expected to exercise in a like position and under similar circumstances.</w:t>
      </w:r>
      <w:r>
        <w:rPr>
          <w:szCs w:val="16"/>
        </w:rPr>
        <w:t xml:space="preserve">” </w:t>
      </w:r>
      <w:r>
        <w:rPr>
          <w:smallCaps/>
          <w:szCs w:val="16"/>
        </w:rPr>
        <w:t>Principles of the Law, Corporate Governance: Analysis and Recommendations § 4.01(</w:t>
      </w:r>
      <w:r>
        <w:rPr>
          <w:szCs w:val="16"/>
        </w:rPr>
        <w:t>a) (</w:t>
      </w:r>
      <w:r>
        <w:rPr>
          <w:smallCaps/>
          <w:szCs w:val="16"/>
        </w:rPr>
        <w:t xml:space="preserve">Am. L. Inst. </w:t>
      </w:r>
      <w:r>
        <w:rPr>
          <w:szCs w:val="16"/>
        </w:rPr>
        <w:t>2005).</w:t>
      </w:r>
      <w:r w:rsidRPr="005B0E88">
        <w:rPr>
          <w:szCs w:val="16"/>
        </w:rPr>
        <w:t xml:space="preserve"> </w:t>
      </w:r>
    </w:p>
  </w:footnote>
  <w:footnote w:id="73">
    <w:p w14:paraId="636E46DE" w14:textId="1571CF5B" w:rsidR="006F1644" w:rsidRDefault="006F1644">
      <w:pPr>
        <w:pStyle w:val="FootnoteText"/>
      </w:pPr>
      <w:r>
        <w:rPr>
          <w:rStyle w:val="FootnoteReference"/>
        </w:rPr>
        <w:footnoteRef/>
      </w:r>
      <w:r>
        <w:t xml:space="preserve"> </w:t>
      </w:r>
      <w:r w:rsidRPr="005B0E88">
        <w:rPr>
          <w:szCs w:val="16"/>
        </w:rPr>
        <w:t>Rather than a negligence standard, Delaware courts generally apply a gross</w:t>
      </w:r>
      <w:r>
        <w:rPr>
          <w:szCs w:val="16"/>
        </w:rPr>
        <w:t>-</w:t>
      </w:r>
      <w:r w:rsidRPr="005B0E88">
        <w:rPr>
          <w:szCs w:val="16"/>
        </w:rPr>
        <w:t>negligence standard in evaluating director duty</w:t>
      </w:r>
      <w:r>
        <w:rPr>
          <w:szCs w:val="16"/>
        </w:rPr>
        <w:t xml:space="preserve"> </w:t>
      </w:r>
      <w:r w:rsidRPr="005B0E88">
        <w:rPr>
          <w:szCs w:val="16"/>
        </w:rPr>
        <w:t>of</w:t>
      </w:r>
      <w:r>
        <w:rPr>
          <w:szCs w:val="16"/>
        </w:rPr>
        <w:t xml:space="preserve"> </w:t>
      </w:r>
      <w:r w:rsidRPr="005B0E88">
        <w:rPr>
          <w:szCs w:val="16"/>
        </w:rPr>
        <w:t xml:space="preserve">care claims. </w:t>
      </w:r>
      <w:r w:rsidRPr="005B0E88">
        <w:rPr>
          <w:i/>
          <w:iCs/>
          <w:szCs w:val="16"/>
        </w:rPr>
        <w:t>See, e.g.</w:t>
      </w:r>
      <w:r w:rsidRPr="005B0E88">
        <w:rPr>
          <w:szCs w:val="16"/>
        </w:rPr>
        <w:t xml:space="preserve">, </w:t>
      </w:r>
      <w:r w:rsidRPr="005B0E88">
        <w:rPr>
          <w:i/>
          <w:iCs/>
          <w:szCs w:val="16"/>
          <w:shd w:val="clear" w:color="auto" w:fill="FFFFFF"/>
        </w:rPr>
        <w:t>McMullin v. Beran</w:t>
      </w:r>
      <w:r w:rsidRPr="005B0E88">
        <w:rPr>
          <w:szCs w:val="16"/>
          <w:shd w:val="clear" w:color="auto" w:fill="FFFFFF"/>
        </w:rPr>
        <w:t>, 765 A.2d 910, 921</w:t>
      </w:r>
      <w:r>
        <w:rPr>
          <w:szCs w:val="16"/>
          <w:shd w:val="clear" w:color="auto" w:fill="FFFFFF"/>
        </w:rPr>
        <w:t xml:space="preserve"> (Del. 2000). This reflects the concepts behind the business judgment rule. </w:t>
      </w:r>
      <w:r w:rsidRPr="00263B0F">
        <w:t xml:space="preserve">The seminal case describing the logic of the business judgment rule is </w:t>
      </w:r>
      <w:r w:rsidRPr="00263B0F">
        <w:rPr>
          <w:i/>
        </w:rPr>
        <w:t>Dodge v. Ford Motor Co.</w:t>
      </w:r>
      <w:r w:rsidRPr="00AB61D6">
        <w:rPr>
          <w:iCs/>
        </w:rPr>
        <w:t>,</w:t>
      </w:r>
      <w:r w:rsidRPr="00263B0F">
        <w:rPr>
          <w:i/>
        </w:rPr>
        <w:t xml:space="preserve"> </w:t>
      </w:r>
      <w:r w:rsidRPr="00263B0F">
        <w:rPr>
          <w:shd w:val="clear" w:color="auto" w:fill="FFFFFF"/>
        </w:rPr>
        <w:t>204 Mich. 459 (1919).</w:t>
      </w:r>
    </w:p>
  </w:footnote>
  <w:footnote w:id="74">
    <w:p w14:paraId="02CFB33A" w14:textId="7EF8B3B4" w:rsidR="006F1644" w:rsidRDefault="006F1644" w:rsidP="00093E7F">
      <w:pPr>
        <w:pStyle w:val="FootnoteText"/>
        <w:rPr>
          <w:rFonts w:cs="Times New Roman"/>
          <w:i/>
        </w:rPr>
      </w:pPr>
      <w:r>
        <w:rPr>
          <w:rStyle w:val="FootnoteReference"/>
        </w:rPr>
        <w:footnoteRef/>
      </w:r>
      <w:r>
        <w:t xml:space="preserve"> </w:t>
      </w:r>
      <w:r w:rsidRPr="007969CC">
        <w:rPr>
          <w:rFonts w:cs="Times New Roman"/>
        </w:rPr>
        <w:t>Of course, if a majority of shareholders wished a deviation from share value maximization</w:t>
      </w:r>
      <w:r>
        <w:rPr>
          <w:rFonts w:cs="Times New Roman"/>
        </w:rPr>
        <w:t xml:space="preserve"> in support of some social end and they either elected a board pledged to support that or</w:t>
      </w:r>
      <w:r w:rsidRPr="007969CC">
        <w:rPr>
          <w:rFonts w:cs="Times New Roman"/>
        </w:rPr>
        <w:t>,</w:t>
      </w:r>
      <w:r>
        <w:rPr>
          <w:rFonts w:cs="Times New Roman"/>
        </w:rPr>
        <w:t xml:space="preserve"> pursuant to a franchise broadening, voted specifically for such a change in behavior, the directors could include in the managers’ compensation packages </w:t>
      </w:r>
      <w:r w:rsidRPr="007969CC">
        <w:rPr>
          <w:rFonts w:cs="Times New Roman"/>
        </w:rPr>
        <w:t>some measure of how well the corporation was performing vis a vis this social goal</w:t>
      </w:r>
      <w:r>
        <w:rPr>
          <w:rFonts w:cs="Times New Roman"/>
        </w:rPr>
        <w:t xml:space="preserve">.  As noted earlier, however, doing so has its own problems.  </w:t>
      </w:r>
      <w:r>
        <w:rPr>
          <w:rFonts w:cs="Times New Roman"/>
          <w:i/>
        </w:rPr>
        <w:t xml:space="preserve">See </w:t>
      </w:r>
      <w:r>
        <w:rPr>
          <w:rFonts w:cs="Times New Roman"/>
        </w:rPr>
        <w:t xml:space="preserve">II.C.2 </w:t>
      </w:r>
      <w:r>
        <w:rPr>
          <w:rFonts w:cs="Times New Roman"/>
          <w:i/>
        </w:rPr>
        <w:t xml:space="preserve">supra. </w:t>
      </w:r>
    </w:p>
    <w:p w14:paraId="66082BE3" w14:textId="51B0F40A" w:rsidR="006F1644" w:rsidRPr="000C5B05" w:rsidRDefault="006F1644" w:rsidP="000C5B05">
      <w:pPr>
        <w:pStyle w:val="FootnoteText"/>
      </w:pPr>
      <w:r>
        <w:rPr>
          <w:rFonts w:cs="Times New Roman"/>
          <w:i/>
        </w:rPr>
        <w:tab/>
      </w:r>
      <w:r>
        <w:rPr>
          <w:rFonts w:cs="Times New Roman"/>
        </w:rPr>
        <w:t xml:space="preserve">There are situations where there is shareholder vote relating to executive compensation, but it is not at all clear that where a majority of shareholders favor a deviation from share value maximization in furtherance of some other aim, they would be able to introduce into the managerial compensation package some kind of reward for furthering this end. </w:t>
      </w:r>
      <w:r w:rsidRPr="008A2632">
        <w:t xml:space="preserve">For example, stock exchange rules require shareholder approval of equity compensation plans. </w:t>
      </w:r>
      <w:r w:rsidRPr="008A2632">
        <w:rPr>
          <w:i/>
          <w:iCs/>
        </w:rPr>
        <w:t xml:space="preserve">See </w:t>
      </w:r>
      <w:r>
        <w:rPr>
          <w:smallCaps/>
        </w:rPr>
        <w:t xml:space="preserve">Intercontinental Exch., Inc., </w:t>
      </w:r>
      <w:r w:rsidRPr="0055379A">
        <w:rPr>
          <w:smallCaps/>
        </w:rPr>
        <w:t>NYSE Listed Company Manual</w:t>
      </w:r>
      <w:r w:rsidRPr="008A2632">
        <w:t xml:space="preserve"> §</w:t>
      </w:r>
      <w:r>
        <w:t> </w:t>
      </w:r>
      <w:r w:rsidRPr="008A2632">
        <w:t>303A.08</w:t>
      </w:r>
      <w:r>
        <w:t xml:space="preserve"> (2021)</w:t>
      </w:r>
      <w:r w:rsidRPr="008A2632">
        <w:t xml:space="preserve">; </w:t>
      </w:r>
      <w:r>
        <w:rPr>
          <w:smallCaps/>
        </w:rPr>
        <w:t xml:space="preserve">NASDAQ, Inc., The NASDAQ Stock Market LLC Rules, </w:t>
      </w:r>
      <w:r w:rsidRPr="008A2632">
        <w:t xml:space="preserve">Rule 5635. Also, tax considerations may prompt the board to put particular compensation plans to shareholder vote. </w:t>
      </w:r>
      <w:r w:rsidRPr="008A2632">
        <w:rPr>
          <w:i/>
          <w:iCs/>
        </w:rPr>
        <w:t xml:space="preserve">See </w:t>
      </w:r>
      <w:r w:rsidRPr="008A2632">
        <w:t xml:space="preserve">Charles M. Yablon, </w:t>
      </w:r>
      <w:r w:rsidRPr="008A2632">
        <w:rPr>
          <w:i/>
          <w:iCs/>
        </w:rPr>
        <w:t>Overcompensating: The Corporate Lawyer and Executive Pay</w:t>
      </w:r>
      <w:r w:rsidRPr="008A2632">
        <w:t xml:space="preserve">, 92 </w:t>
      </w:r>
      <w:r w:rsidRPr="008A2632">
        <w:rPr>
          <w:smallCaps/>
        </w:rPr>
        <w:t>Colum. L. Rev.</w:t>
      </w:r>
      <w:r w:rsidRPr="008A2632">
        <w:t xml:space="preserve"> 1867, 1892 n.69 </w:t>
      </w:r>
      <w:r w:rsidRPr="00502326">
        <w:t>(1992)</w:t>
      </w:r>
      <w:r>
        <w:t xml:space="preserve">. </w:t>
      </w:r>
      <w:r w:rsidRPr="00D23126">
        <w:t>Further, shareholders can try to influence executive compensation</w:t>
      </w:r>
      <w:r>
        <w:t xml:space="preserve"> indirectly,</w:t>
      </w:r>
      <w:r w:rsidRPr="00D23126">
        <w:t xml:space="preserve"> but the available mechanisms are </w:t>
      </w:r>
      <w:r>
        <w:t>blunt</w:t>
      </w:r>
      <w:r w:rsidRPr="00D23126">
        <w:t xml:space="preserve"> </w:t>
      </w:r>
      <w:r>
        <w:t>means for</w:t>
      </w:r>
      <w:r w:rsidRPr="00D23126">
        <w:t xml:space="preserve"> affecting corporate change.</w:t>
      </w:r>
      <w:r w:rsidRPr="008A2632">
        <w:t xml:space="preserve"> For example, </w:t>
      </w:r>
      <w:r>
        <w:t xml:space="preserve">the </w:t>
      </w:r>
      <w:r w:rsidRPr="008A2632">
        <w:t xml:space="preserve">Dodd-Frank </w:t>
      </w:r>
      <w:r>
        <w:t xml:space="preserve">Act </w:t>
      </w:r>
      <w:r w:rsidRPr="008A2632">
        <w:t>provided shareholders with the right to vote on executive compensation through a say</w:t>
      </w:r>
      <w:r>
        <w:t>-</w:t>
      </w:r>
      <w:r w:rsidRPr="008A2632">
        <w:t>on</w:t>
      </w:r>
      <w:r>
        <w:t>-</w:t>
      </w:r>
      <w:r w:rsidRPr="008A2632">
        <w:t>pay vote, but that vote is non-binding on the board and simply</w:t>
      </w:r>
      <w:r>
        <w:t xml:space="preserve"> affords</w:t>
      </w:r>
      <w:r w:rsidRPr="000525FB">
        <w:t xml:space="preserve"> shareholders an up</w:t>
      </w:r>
      <w:r>
        <w:t>-</w:t>
      </w:r>
      <w:r w:rsidRPr="000525FB">
        <w:t>or</w:t>
      </w:r>
      <w:r>
        <w:t>-</w:t>
      </w:r>
      <w:r w:rsidRPr="000525FB">
        <w:t xml:space="preserve">down </w:t>
      </w:r>
      <w:r>
        <w:t xml:space="preserve">vote </w:t>
      </w:r>
      <w:r w:rsidRPr="000525FB">
        <w:t xml:space="preserve">on the </w:t>
      </w:r>
      <w:r>
        <w:t>board-determined</w:t>
      </w:r>
      <w:r w:rsidRPr="001F5626">
        <w:t xml:space="preserve"> executive</w:t>
      </w:r>
      <w:r>
        <w:t xml:space="preserve"> </w:t>
      </w:r>
      <w:r w:rsidRPr="001F5626">
        <w:t>compensation program</w:t>
      </w:r>
      <w:r w:rsidRPr="006734BC">
        <w:t xml:space="preserve"> for certain top-level executives. </w:t>
      </w:r>
      <w:r w:rsidRPr="006734BC">
        <w:rPr>
          <w:i/>
          <w:iCs/>
        </w:rPr>
        <w:t xml:space="preserve">See </w:t>
      </w:r>
      <w:r w:rsidRPr="008B4AD8">
        <w:t>17 C</w:t>
      </w:r>
      <w:r>
        <w:t>.</w:t>
      </w:r>
      <w:r w:rsidRPr="008B4AD8">
        <w:t>F</w:t>
      </w:r>
      <w:r>
        <w:t>.</w:t>
      </w:r>
      <w:r w:rsidRPr="008B4AD8">
        <w:t>R</w:t>
      </w:r>
      <w:r>
        <w:t>.</w:t>
      </w:r>
      <w:r w:rsidRPr="008B4AD8">
        <w:t xml:space="preserve"> §</w:t>
      </w:r>
      <w:r>
        <w:t> </w:t>
      </w:r>
      <w:r w:rsidRPr="008B4AD8">
        <w:t>240.14</w:t>
      </w:r>
      <w:r>
        <w:t>a</w:t>
      </w:r>
      <w:r w:rsidRPr="008B4AD8">
        <w:t xml:space="preserve">-21. </w:t>
      </w:r>
      <w:r>
        <w:t>C</w:t>
      </w:r>
      <w:r w:rsidRPr="008B4AD8">
        <w:t>onsistent with the advisory role of the say</w:t>
      </w:r>
      <w:r>
        <w:t>-</w:t>
      </w:r>
      <w:r w:rsidRPr="008B4AD8">
        <w:t>on</w:t>
      </w:r>
      <w:r>
        <w:t>-</w:t>
      </w:r>
      <w:r w:rsidRPr="008B4AD8">
        <w:t xml:space="preserve">pay vote, </w:t>
      </w:r>
      <w:r w:rsidRPr="00F020F6">
        <w:t>scholars have yet to identify a clear empirical relationship</w:t>
      </w:r>
      <w:r>
        <w:t xml:space="preserve"> between the outcome of a say on pay vote and the amount of executive compensation. </w:t>
      </w:r>
      <w:r w:rsidRPr="00A535B4">
        <w:rPr>
          <w:i/>
          <w:iCs/>
        </w:rPr>
        <w:t>See, e.g.</w:t>
      </w:r>
      <w:r>
        <w:t xml:space="preserve">, Jill E. Fisch, Darius Palia &amp; Steven Davidoff Solomon, </w:t>
      </w:r>
      <w:r w:rsidRPr="007047F0">
        <w:rPr>
          <w:i/>
          <w:iCs/>
        </w:rPr>
        <w:t>Is Say on Pay All About</w:t>
      </w:r>
      <w:r>
        <w:rPr>
          <w:i/>
          <w:iCs/>
        </w:rPr>
        <w:t xml:space="preserve"> Pay?</w:t>
      </w:r>
      <w:r w:rsidRPr="007047F0">
        <w:rPr>
          <w:i/>
          <w:iCs/>
        </w:rPr>
        <w:t xml:space="preserve"> </w:t>
      </w:r>
      <w:r>
        <w:rPr>
          <w:i/>
          <w:iCs/>
        </w:rPr>
        <w:t xml:space="preserve">The Impact of Firm </w:t>
      </w:r>
      <w:r w:rsidRPr="007047F0">
        <w:rPr>
          <w:i/>
          <w:iCs/>
        </w:rPr>
        <w:t>Performance</w:t>
      </w:r>
      <w:r>
        <w:t xml:space="preserve">, 8 </w:t>
      </w:r>
      <w:r w:rsidRPr="007047F0">
        <w:rPr>
          <w:smallCaps/>
        </w:rPr>
        <w:t>Harv. Bus. L. Rev.</w:t>
      </w:r>
      <w:r>
        <w:t xml:space="preserve"> 101, 102 (2018) (“Academic studies have reached inconsistent results about the effect of low say on pay votes but have generally failed to find conclusive evidence that issuers reduce executive pay packages in response to lower approval rates.”); </w:t>
      </w:r>
      <w:r>
        <w:rPr>
          <w:i/>
          <w:iCs/>
        </w:rPr>
        <w:t xml:space="preserve">see also </w:t>
      </w:r>
      <w:r>
        <w:t xml:space="preserve">Fisch et al., </w:t>
      </w:r>
      <w:r>
        <w:rPr>
          <w:i/>
          <w:iCs/>
        </w:rPr>
        <w:t>supra</w:t>
      </w:r>
      <w:r>
        <w:t>,</w:t>
      </w:r>
      <w:r>
        <w:rPr>
          <w:i/>
          <w:iCs/>
        </w:rPr>
        <w:t xml:space="preserve"> </w:t>
      </w:r>
      <w:r>
        <w:t xml:space="preserve">at 107-109 (discussing empirical findings). For a discussion of </w:t>
      </w:r>
      <w:r w:rsidRPr="008A2632">
        <w:t>other indirect mechanisms available</w:t>
      </w:r>
      <w:r>
        <w:t xml:space="preserve"> to shareholders to affect executive compensation, see Randall S. Thomas &amp; Kenneth J. Martin, </w:t>
      </w:r>
      <w:r w:rsidRPr="000525FB">
        <w:rPr>
          <w:i/>
          <w:iCs/>
        </w:rPr>
        <w:t>The Effect of Shareholder Proposals on Executive Compensation</w:t>
      </w:r>
      <w:r>
        <w:t xml:space="preserve">, 67 </w:t>
      </w:r>
      <w:r w:rsidRPr="000525FB">
        <w:rPr>
          <w:smallCaps/>
        </w:rPr>
        <w:t>U. Cin. L. Rev.</w:t>
      </w:r>
      <w:r>
        <w:t xml:space="preserve"> 1021, 1043-55 (1999).</w:t>
      </w:r>
      <w:r>
        <w:rPr>
          <w:rFonts w:cs="Times New Roman"/>
        </w:rPr>
        <w:t xml:space="preserve"> </w:t>
      </w:r>
    </w:p>
  </w:footnote>
  <w:footnote w:id="75">
    <w:p w14:paraId="056C8C74" w14:textId="0E824450" w:rsidR="006F1644" w:rsidRDefault="006F1644" w:rsidP="009F6FCB">
      <w:pPr>
        <w:pStyle w:val="FootnoteText"/>
      </w:pPr>
      <w:r>
        <w:rPr>
          <w:rStyle w:val="FootnoteReference"/>
        </w:rPr>
        <w:footnoteRef/>
      </w:r>
      <w:r>
        <w:t xml:space="preserve"> In 2023, over 75% of S&amp;P 500 firms included ESG metrics in their executive compensation schemes. </w:t>
      </w:r>
      <w:r w:rsidRPr="00000FA4">
        <w:rPr>
          <w:i/>
          <w:iCs/>
        </w:rPr>
        <w:t>See</w:t>
      </w:r>
      <w:r>
        <w:t xml:space="preserve"> </w:t>
      </w:r>
      <w:r w:rsidRPr="00000FA4">
        <w:t xml:space="preserve">Matteo </w:t>
      </w:r>
      <w:r w:rsidRPr="00652CF8">
        <w:rPr>
          <w:i/>
          <w:iCs/>
        </w:rPr>
        <w:t xml:space="preserve">Tonello, </w:t>
      </w:r>
      <w:r w:rsidRPr="00000FA4">
        <w:rPr>
          <w:i/>
          <w:iCs/>
        </w:rPr>
        <w:t>ESG Performance Metrics in Executive Pay</w:t>
      </w:r>
      <w:r>
        <w:t xml:space="preserve">, </w:t>
      </w:r>
      <w:r w:rsidRPr="00A40BC9">
        <w:rPr>
          <w:i/>
          <w:iCs/>
        </w:rPr>
        <w:t>Harvard Law School Forum on Corporate Governance</w:t>
      </w:r>
      <w:r>
        <w:rPr>
          <w:i/>
          <w:iCs/>
        </w:rPr>
        <w:t xml:space="preserve"> </w:t>
      </w:r>
      <w:r>
        <w:t xml:space="preserve">(2024), </w:t>
      </w:r>
      <w:r w:rsidRPr="008054D9">
        <w:t>https://corpgov.law.harvard.edu/2024/01/15/esg-performance-metrics-in-executive-pay/</w:t>
      </w:r>
      <w:r>
        <w:t xml:space="preserve">.   </w:t>
      </w:r>
      <w:r w:rsidR="008C2E9D" w:rsidRPr="00FA10F0">
        <w:rPr>
          <w:rFonts w:cs="Times New Roman"/>
          <w:i/>
          <w:iCs/>
        </w:rPr>
        <w:t>See</w:t>
      </w:r>
      <w:r w:rsidR="008C2E9D">
        <w:rPr>
          <w:rFonts w:cs="Times New Roman"/>
          <w:i/>
          <w:iCs/>
        </w:rPr>
        <w:t xml:space="preserve"> also</w:t>
      </w:r>
      <w:r w:rsidR="008C2E9D" w:rsidRPr="00FA10F0">
        <w:rPr>
          <w:rFonts w:cs="Times New Roman"/>
        </w:rPr>
        <w:t xml:space="preserve"> </w:t>
      </w:r>
      <w:r w:rsidR="008C2E9D" w:rsidRPr="004979E2">
        <w:rPr>
          <w:rFonts w:cs="Times New Roman"/>
        </w:rPr>
        <w:t>Adam B. Badawi</w:t>
      </w:r>
      <w:r w:rsidR="008C2E9D" w:rsidRPr="00FA10F0">
        <w:rPr>
          <w:rFonts w:cs="Times New Roman"/>
        </w:rPr>
        <w:t xml:space="preserve"> and </w:t>
      </w:r>
      <w:r w:rsidR="008C2E9D" w:rsidRPr="004979E2">
        <w:rPr>
          <w:rFonts w:cs="Times New Roman"/>
        </w:rPr>
        <w:t>Robert P. Bartlett</w:t>
      </w:r>
      <w:r w:rsidR="008C2E9D" w:rsidRPr="00FA10F0">
        <w:rPr>
          <w:rFonts w:cs="Times New Roman"/>
        </w:rPr>
        <w:t xml:space="preserve">, </w:t>
      </w:r>
      <w:r w:rsidR="008C2E9D" w:rsidRPr="00FA10F0">
        <w:rPr>
          <w:rFonts w:cs="Times New Roman"/>
          <w:i/>
          <w:iCs/>
        </w:rPr>
        <w:t>ESG Overperformance? Assessing the Use of ESG Targets in Executive Compensation Plans</w:t>
      </w:r>
      <w:r w:rsidR="008C2E9D" w:rsidRPr="00FA10F0">
        <w:rPr>
          <w:rFonts w:cs="Times New Roman"/>
        </w:rPr>
        <w:t xml:space="preserve"> (2024), </w:t>
      </w:r>
      <w:r w:rsidR="008C2E9D" w:rsidRPr="004979E2">
        <w:rPr>
          <w:rFonts w:cs="Times New Roman"/>
        </w:rPr>
        <w:t>https://papers.ssrn.com/sol3/papers.cfm?abstract_id=4941016</w:t>
      </w:r>
      <w:r w:rsidR="008C2E9D" w:rsidRPr="00FA10F0">
        <w:rPr>
          <w:rFonts w:cs="Times New Roman"/>
        </w:rPr>
        <w:t xml:space="preserve"> (evaluating the use of ESG targets in executive compensation).</w:t>
      </w:r>
    </w:p>
  </w:footnote>
  <w:footnote w:id="76">
    <w:p w14:paraId="3054F990" w14:textId="661248FF" w:rsidR="006F1644" w:rsidRDefault="006F1644" w:rsidP="009F6FCB">
      <w:pPr>
        <w:pStyle w:val="FootnoteText"/>
      </w:pPr>
      <w:r>
        <w:rPr>
          <w:rStyle w:val="FootnoteReference"/>
        </w:rPr>
        <w:footnoteRef/>
      </w:r>
      <w:r>
        <w:t xml:space="preserve"> </w:t>
      </w:r>
      <w:r w:rsidRPr="00FE3FB2">
        <w:rPr>
          <w:i/>
          <w:iCs/>
        </w:rPr>
        <w:t>See, e.g.</w:t>
      </w:r>
      <w:r>
        <w:t xml:space="preserve">, Lucian Bebchuk &amp; Roberto Tallarita. </w:t>
      </w:r>
      <w:r w:rsidRPr="00FE3FB2">
        <w:rPr>
          <w:i/>
          <w:iCs/>
        </w:rPr>
        <w:t>The Perils and Questionable Promise of ESG-Based Compensation</w:t>
      </w:r>
      <w:r>
        <w:t>, 40</w:t>
      </w:r>
      <w:r w:rsidRPr="007E4700">
        <w:t xml:space="preserve"> </w:t>
      </w:r>
      <w:r w:rsidRPr="00FE3FB2">
        <w:rPr>
          <w:smallCaps/>
        </w:rPr>
        <w:t>J</w:t>
      </w:r>
      <w:r w:rsidR="005E49BA">
        <w:rPr>
          <w:smallCaps/>
        </w:rPr>
        <w:t>.</w:t>
      </w:r>
      <w:r w:rsidRPr="00FE3FB2">
        <w:rPr>
          <w:smallCaps/>
        </w:rPr>
        <w:t xml:space="preserve">  Corp L.</w:t>
      </w:r>
      <w:r>
        <w:t xml:space="preserve"> 37, 52</w:t>
      </w:r>
      <w:r w:rsidRPr="007E4700">
        <w:t xml:space="preserve"> </w:t>
      </w:r>
      <w:r>
        <w:t xml:space="preserve">(2022) (finding that of the S&amp;P 100 firms that include ESG metrics in their executive compensation schemes, “in most cases, </w:t>
      </w:r>
      <w:r w:rsidRPr="007E4700">
        <w:t>ESG metrics account for only 1.5%–3% of the total CEO pay</w:t>
      </w:r>
      <w:r>
        <w:t xml:space="preserve">,” with the higher percentage outliers still only connecting a small fraction of CEO pay to ESG metrics). </w:t>
      </w:r>
    </w:p>
  </w:footnote>
  <w:footnote w:id="77">
    <w:p w14:paraId="46F6D55B" w14:textId="77777777" w:rsidR="006F1644" w:rsidRPr="001604D2" w:rsidRDefault="006F1644" w:rsidP="009F6FCB">
      <w:pPr>
        <w:pStyle w:val="FootnoteText"/>
      </w:pPr>
      <w:r>
        <w:rPr>
          <w:rStyle w:val="FootnoteReference"/>
        </w:rPr>
        <w:footnoteRef/>
      </w:r>
      <w:r>
        <w:t xml:space="preserve"> Consider the findings in David I. Walker, </w:t>
      </w:r>
      <w:r w:rsidRPr="000D4ED0">
        <w:rPr>
          <w:i/>
          <w:iCs/>
        </w:rPr>
        <w:t>The Economic (In)significance of Executive Pay ESG Incentives</w:t>
      </w:r>
      <w:r>
        <w:t xml:space="preserve">, 27 </w:t>
      </w:r>
      <w:r w:rsidRPr="001604D2">
        <w:rPr>
          <w:smallCaps/>
        </w:rPr>
        <w:t>Stan. J. L. Bus. &amp; Fin.</w:t>
      </w:r>
      <w:r w:rsidRPr="001604D2">
        <w:t xml:space="preserve"> 318, 334-38 (2022). As a rough approximation for h</w:t>
      </w:r>
      <w:r w:rsidRPr="00000FA4">
        <w:rPr>
          <w:rFonts w:cs="Times New Roman"/>
        </w:rPr>
        <w:t xml:space="preserve">ow strongly ESG metrics incentivize firm managers to undertake ESG activities at the expense of share value, </w:t>
      </w:r>
      <w:r w:rsidRPr="001604D2">
        <w:t xml:space="preserve">Walker </w:t>
      </w:r>
      <w:r w:rsidRPr="00000FA4">
        <w:rPr>
          <w:rFonts w:cs="Times New Roman"/>
        </w:rPr>
        <w:t>calculates</w:t>
      </w:r>
      <w:r>
        <w:rPr>
          <w:rFonts w:cs="Times New Roman"/>
        </w:rPr>
        <w:t>,</w:t>
      </w:r>
      <w:r w:rsidRPr="00000FA4">
        <w:rPr>
          <w:rFonts w:cs="Times New Roman"/>
        </w:rPr>
        <w:t xml:space="preserve"> for thirteen leading companies, the ratio of executives’</w:t>
      </w:r>
      <w:r>
        <w:rPr>
          <w:rFonts w:cs="Times New Roman"/>
        </w:rPr>
        <w:t xml:space="preserve"> yearly</w:t>
      </w:r>
      <w:r w:rsidRPr="00000FA4">
        <w:rPr>
          <w:rFonts w:cs="Times New Roman"/>
        </w:rPr>
        <w:t xml:space="preserve"> ESG-linked compensation dollars to their “total incentive dollars,” which is comprised of executives’ stock, options, and bonuses granted in the current year, their stock and options grants from prior years that remain outstanding, and their holdings of their company’s shares. </w:t>
      </w:r>
      <w:r w:rsidRPr="00000FA4">
        <w:rPr>
          <w:rFonts w:cs="Times New Roman"/>
          <w:i/>
          <w:iCs/>
        </w:rPr>
        <w:t>See id.</w:t>
      </w:r>
      <w:r w:rsidRPr="00000FA4">
        <w:rPr>
          <w:rFonts w:cs="Times New Roman"/>
        </w:rPr>
        <w:t xml:space="preserve"> at 322 &amp; 337-38. Walker finds that the average ratio of ESG-based incentive dollars to total incentive dollars is just 1.1%, with the median ratio just 0.2%. </w:t>
      </w:r>
      <w:r w:rsidRPr="00000FA4">
        <w:rPr>
          <w:rFonts w:cs="Times New Roman"/>
          <w:i/>
          <w:iCs/>
        </w:rPr>
        <w:t>See id.</w:t>
      </w:r>
      <w:r w:rsidRPr="00000FA4">
        <w:rPr>
          <w:rFonts w:cs="Times New Roman"/>
        </w:rPr>
        <w:t xml:space="preserve"> at 339.  </w:t>
      </w:r>
    </w:p>
  </w:footnote>
  <w:footnote w:id="78">
    <w:p w14:paraId="0663DCAA" w14:textId="77777777" w:rsidR="006F1644" w:rsidRPr="001604D2" w:rsidRDefault="006F1644" w:rsidP="009F6FCB">
      <w:pPr>
        <w:pStyle w:val="FootnoteText"/>
      </w:pPr>
      <w:r w:rsidRPr="001604D2">
        <w:rPr>
          <w:rStyle w:val="FootnoteReference"/>
        </w:rPr>
        <w:footnoteRef/>
      </w:r>
      <w:r w:rsidRPr="001604D2">
        <w:t xml:space="preserve"> </w:t>
      </w:r>
      <w:r w:rsidRPr="009F6FCB">
        <w:rPr>
          <w:i/>
          <w:iCs/>
        </w:rPr>
        <w:t>See also id.</w:t>
      </w:r>
      <w:r>
        <w:t xml:space="preserve"> at 321 (“The economics incentives to advance ESG goals created by these [executive pay schemes] are simply dwarfed by the incentives to maximize share value”). </w:t>
      </w:r>
    </w:p>
  </w:footnote>
  <w:footnote w:id="79">
    <w:p w14:paraId="13F1E24B" w14:textId="0F233BE3" w:rsidR="006F1644" w:rsidRPr="005E3083" w:rsidRDefault="006F1644" w:rsidP="00975FEC">
      <w:pPr>
        <w:pStyle w:val="FootnoteText"/>
        <w:jc w:val="both"/>
        <w:rPr>
          <w:rFonts w:cs="Times New Roman"/>
          <w:i/>
          <w:iCs/>
        </w:rPr>
      </w:pPr>
      <w:r w:rsidRPr="005E3083">
        <w:rPr>
          <w:rStyle w:val="FootnoteReference"/>
          <w:rFonts w:cs="Times New Roman"/>
          <w:i/>
          <w:iCs/>
        </w:rPr>
        <w:footnoteRef/>
      </w:r>
      <w:r w:rsidRPr="005E3083">
        <w:rPr>
          <w:rFonts w:cs="Times New Roman"/>
          <w:i/>
          <w:iCs/>
        </w:rPr>
        <w:t xml:space="preserve"> See </w:t>
      </w:r>
      <w:r w:rsidRPr="005E3083">
        <w:rPr>
          <w:rFonts w:cs="Times New Roman"/>
          <w:color w:val="000000"/>
          <w:shd w:val="clear" w:color="auto" w:fill="FFFFFF"/>
        </w:rPr>
        <w:t>Michal Barzuza, Quinn Curtis &amp; David H. Webber, </w:t>
      </w:r>
      <w:r w:rsidRPr="005E3083">
        <w:rPr>
          <w:rStyle w:val="Emphasis"/>
          <w:rFonts w:cs="Times New Roman"/>
          <w:color w:val="000000"/>
          <w:bdr w:val="none" w:sz="0" w:space="0" w:color="auto" w:frame="1"/>
          <w:shd w:val="clear" w:color="auto" w:fill="FFFFFF"/>
        </w:rPr>
        <w:t>The Millennial Corporation: Strong Stakeholders, Weak Managers</w:t>
      </w:r>
      <w:r w:rsidRPr="005E3083">
        <w:rPr>
          <w:rStyle w:val="Emphasis"/>
          <w:rFonts w:cs="Times New Roman"/>
          <w:i w:val="0"/>
          <w:iCs w:val="0"/>
          <w:color w:val="000000"/>
          <w:bdr w:val="none" w:sz="0" w:space="0" w:color="auto" w:frame="1"/>
          <w:shd w:val="clear" w:color="auto" w:fill="FFFFFF"/>
        </w:rPr>
        <w:t xml:space="preserve">, </w:t>
      </w:r>
      <w:r>
        <w:rPr>
          <w:rStyle w:val="Emphasis"/>
          <w:rFonts w:cs="Times New Roman"/>
          <w:i w:val="0"/>
          <w:iCs w:val="0"/>
          <w:color w:val="000000"/>
          <w:bdr w:val="none" w:sz="0" w:space="0" w:color="auto" w:frame="1"/>
          <w:shd w:val="clear" w:color="auto" w:fill="FFFFFF"/>
        </w:rPr>
        <w:t xml:space="preserve">28 </w:t>
      </w:r>
      <w:r w:rsidRPr="005E3083">
        <w:rPr>
          <w:rStyle w:val="Emphasis"/>
          <w:rFonts w:cs="Times New Roman"/>
          <w:i w:val="0"/>
          <w:iCs w:val="0"/>
          <w:smallCaps/>
          <w:color w:val="000000"/>
          <w:bdr w:val="none" w:sz="0" w:space="0" w:color="auto" w:frame="1"/>
          <w:shd w:val="clear" w:color="auto" w:fill="FFFFFF"/>
        </w:rPr>
        <w:t>Stan. J. L. Bus. &amp; Fin</w:t>
      </w:r>
      <w:r w:rsidRPr="005E3083">
        <w:rPr>
          <w:rStyle w:val="Emphasis"/>
          <w:rFonts w:cs="Times New Roman"/>
          <w:i w:val="0"/>
          <w:iCs w:val="0"/>
          <w:color w:val="000000"/>
          <w:bdr w:val="none" w:sz="0" w:space="0" w:color="auto" w:frame="1"/>
          <w:shd w:val="clear" w:color="auto" w:fill="FFFFFF"/>
        </w:rPr>
        <w:t xml:space="preserve">. </w:t>
      </w:r>
      <w:r>
        <w:rPr>
          <w:rStyle w:val="Emphasis"/>
          <w:rFonts w:cs="Times New Roman"/>
          <w:i w:val="0"/>
          <w:iCs w:val="0"/>
          <w:color w:val="000000"/>
          <w:bdr w:val="none" w:sz="0" w:space="0" w:color="auto" w:frame="1"/>
          <w:shd w:val="clear" w:color="auto" w:fill="FFFFFF"/>
        </w:rPr>
        <w:t>255</w:t>
      </w:r>
      <w:r w:rsidRPr="005E3083">
        <w:rPr>
          <w:rStyle w:val="Emphasis"/>
          <w:rFonts w:cs="Times New Roman"/>
          <w:i w:val="0"/>
          <w:iCs w:val="0"/>
          <w:color w:val="000000"/>
          <w:bdr w:val="none" w:sz="0" w:space="0" w:color="auto" w:frame="1"/>
          <w:shd w:val="clear" w:color="auto" w:fill="FFFFFF"/>
        </w:rPr>
        <w:t xml:space="preserve"> (2023)</w:t>
      </w:r>
      <w:r>
        <w:rPr>
          <w:rStyle w:val="Emphasis"/>
          <w:rFonts w:cs="Times New Roman"/>
          <w:i w:val="0"/>
          <w:iCs w:val="0"/>
          <w:color w:val="000000"/>
          <w:bdr w:val="none" w:sz="0" w:space="0" w:color="auto" w:frame="1"/>
          <w:shd w:val="clear" w:color="auto" w:fill="FFFFFF"/>
        </w:rPr>
        <w:t xml:space="preserve">. </w:t>
      </w:r>
    </w:p>
  </w:footnote>
  <w:footnote w:id="80">
    <w:p w14:paraId="666EF787" w14:textId="77777777" w:rsidR="006F1644" w:rsidRPr="001F4CD6" w:rsidRDefault="006F1644" w:rsidP="00C82881">
      <w:pPr>
        <w:pStyle w:val="FootnoteText"/>
      </w:pPr>
      <w:r w:rsidRPr="001F4CD6">
        <w:rPr>
          <w:rStyle w:val="FootnoteReference"/>
        </w:rPr>
        <w:footnoteRef/>
      </w:r>
      <w:r w:rsidRPr="001F4CD6">
        <w:t xml:space="preserve"> </w:t>
      </w:r>
      <w:r w:rsidRPr="00000FA4">
        <w:rPr>
          <w:rFonts w:cs="Times New Roman"/>
        </w:rPr>
        <w:t>We discuss in footnote aspects of the analysis as it relates to the circumstance in which sacrificers’ preferences fall within the third category in Part I.</w:t>
      </w:r>
    </w:p>
  </w:footnote>
  <w:footnote w:id="81">
    <w:p w14:paraId="17F155CD" w14:textId="46E56094" w:rsidR="006F1644" w:rsidRDefault="006F1644" w:rsidP="00D139FF">
      <w:pPr>
        <w:pStyle w:val="FootnoteText"/>
        <w:jc w:val="both"/>
      </w:pPr>
      <w:r>
        <w:rPr>
          <w:rStyle w:val="FootnoteReference"/>
        </w:rPr>
        <w:footnoteRef/>
      </w:r>
      <w:r>
        <w:t xml:space="preserve"> </w:t>
      </w:r>
      <w:r w:rsidRPr="00000FA4">
        <w:rPr>
          <w:i/>
          <w:iCs/>
        </w:rPr>
        <w:t>See, e.g.</w:t>
      </w:r>
      <w:r>
        <w:t xml:space="preserve">, Harry Markowitz, </w:t>
      </w:r>
      <w:r w:rsidRPr="00000FA4">
        <w:rPr>
          <w:i/>
          <w:iCs/>
        </w:rPr>
        <w:t>Portfolio Selection</w:t>
      </w:r>
      <w:r>
        <w:t xml:space="preserve">, 7 </w:t>
      </w:r>
      <w:r w:rsidRPr="00000FA4">
        <w:rPr>
          <w:smallCaps/>
        </w:rPr>
        <w:t>J. Fin.</w:t>
      </w:r>
      <w:r>
        <w:t xml:space="preserve"> 77 (1952) (the utility an investor derives from an investment assumed to be determined solely the investment’s expected value and standard deviation); William F. Sharpe, </w:t>
      </w:r>
      <w:r w:rsidRPr="00000FA4">
        <w:rPr>
          <w:i/>
          <w:iCs/>
        </w:rPr>
        <w:t>Capital Asset Prices: A Theory of Market Equilibrium Under Conditions of Risk</w:t>
      </w:r>
      <w:r>
        <w:t xml:space="preserve">, 19 </w:t>
      </w:r>
      <w:r w:rsidRPr="00000FA4">
        <w:rPr>
          <w:smallCaps/>
        </w:rPr>
        <w:t>J. Fin.</w:t>
      </w:r>
      <w:r>
        <w:t xml:space="preserve"> 425 (1964) (same). More recent financial economic models do envision circumstances in which investors might care about issuers’ social impact. </w:t>
      </w:r>
      <w:r w:rsidRPr="00000FA4">
        <w:rPr>
          <w:i/>
          <w:iCs/>
        </w:rPr>
        <w:t>See, e.g.</w:t>
      </w:r>
      <w:r>
        <w:t xml:space="preserve">, </w:t>
      </w:r>
      <w:r w:rsidRPr="00000FA4">
        <w:rPr>
          <w:i/>
          <w:iCs/>
        </w:rPr>
        <w:t>infra</w:t>
      </w:r>
      <w:r>
        <w:t xml:space="preserve"> note </w:t>
      </w:r>
      <w:r>
        <w:fldChar w:fldCharType="begin"/>
      </w:r>
      <w:r>
        <w:instrText xml:space="preserve"> NOTEREF _Ref178071587 \h </w:instrText>
      </w:r>
      <w:r>
        <w:fldChar w:fldCharType="separate"/>
      </w:r>
      <w:r w:rsidR="005B5BC3">
        <w:t>90</w:t>
      </w:r>
      <w:r>
        <w:fldChar w:fldCharType="end"/>
      </w:r>
      <w:r>
        <w:t xml:space="preserve">. </w:t>
      </w:r>
    </w:p>
    <w:p w14:paraId="188BDDCC" w14:textId="20756274" w:rsidR="006F1644" w:rsidRDefault="006F1644" w:rsidP="00D139FF">
      <w:pPr>
        <w:pStyle w:val="FootnoteText"/>
        <w:jc w:val="both"/>
      </w:pPr>
    </w:p>
  </w:footnote>
  <w:footnote w:id="82">
    <w:p w14:paraId="5D61544E" w14:textId="37F72321" w:rsidR="006F1644" w:rsidRDefault="006F1644" w:rsidP="00975FEC">
      <w:pPr>
        <w:pStyle w:val="FootnoteText"/>
        <w:jc w:val="both"/>
      </w:pPr>
      <w:r>
        <w:rPr>
          <w:rStyle w:val="FootnoteReference"/>
        </w:rPr>
        <w:footnoteRef/>
      </w:r>
      <w:r>
        <w:t xml:space="preserve"> This is obviously true of a broad-based index fund. It should also be true of a managed fund investing with the goal of achieving portfolio returns that, risk-adjusted, are superior to that of the market. Such a fund will still use diversification to reduce risk. Of course, to meet its goal of beating the market, it will need to deviate from being fully diversified when it buys what it perceives to be underpriced securities and sells or sells short what it perceives to be overprice securities. These deviations should cancel out over time, however, because it is similarly likely to identify overpriced securities as underpriced ones. </w:t>
      </w:r>
    </w:p>
  </w:footnote>
  <w:footnote w:id="83">
    <w:p w14:paraId="79EC245A" w14:textId="77777777" w:rsidR="006F1644" w:rsidRDefault="006F1644" w:rsidP="00975FEC">
      <w:pPr>
        <w:pStyle w:val="FootnoteText"/>
        <w:jc w:val="both"/>
      </w:pPr>
      <w:r>
        <w:rPr>
          <w:rStyle w:val="FootnoteReference"/>
        </w:rPr>
        <w:footnoteRef/>
      </w:r>
      <w:r>
        <w:t xml:space="preserve"> </w:t>
      </w:r>
      <w:r w:rsidRPr="00D641B1">
        <w:rPr>
          <w:rFonts w:cs="Times New Roman"/>
        </w:rPr>
        <w:t>There is no reason to think that the events that prompted such an entity to divest would also reduce the portion of an institution’s portfolio that wishes to keep invested in public equities.</w:t>
      </w:r>
    </w:p>
  </w:footnote>
  <w:footnote w:id="84">
    <w:p w14:paraId="733B7FBC" w14:textId="16D7DA00" w:rsidR="006F1644" w:rsidRDefault="006F1644" w:rsidP="00975FEC">
      <w:pPr>
        <w:pStyle w:val="FootnoteText"/>
        <w:jc w:val="both"/>
      </w:pPr>
      <w:r>
        <w:rPr>
          <w:rStyle w:val="FootnoteReference"/>
        </w:rPr>
        <w:footnoteRef/>
      </w:r>
      <w:r>
        <w:t xml:space="preserve"> This is distinguished from unconstrained investing because the investor will not hold the shares of the issuer unless the firms in the industry have been affirmatively vetted as not offending the investors social concerns. </w:t>
      </w:r>
    </w:p>
  </w:footnote>
  <w:footnote w:id="85">
    <w:p w14:paraId="4CA056FE" w14:textId="3C4CDD59" w:rsidR="006F1644" w:rsidRDefault="006F1644" w:rsidP="00975FEC">
      <w:pPr>
        <w:pStyle w:val="FootnoteText"/>
        <w:jc w:val="both"/>
      </w:pPr>
      <w:r>
        <w:rPr>
          <w:rStyle w:val="FootnoteReference"/>
        </w:rPr>
        <w:footnoteRef/>
      </w:r>
      <w:r>
        <w:t xml:space="preserve"> Consider, for instance, Arjuna Capital, which manages Arjuna 350, a domestic equity fund that follows a transformational approach. </w:t>
      </w:r>
      <w:r w:rsidRPr="00000FA4">
        <w:rPr>
          <w:i/>
          <w:iCs/>
        </w:rPr>
        <w:t>See, e.g.</w:t>
      </w:r>
      <w:r>
        <w:t xml:space="preserve">, Arjuna Capital, </w:t>
      </w:r>
      <w:r w:rsidRPr="00000FA4">
        <w:rPr>
          <w:i/>
          <w:iCs/>
        </w:rPr>
        <w:t>350 Equity</w:t>
      </w:r>
      <w:r>
        <w:t xml:space="preserve"> (2024), </w:t>
      </w:r>
      <w:r w:rsidRPr="00191C8A">
        <w:t>https://arjuna-capital.com/s/Arjuna-Capital-350-Equity-Strategy-Fact-Sheet-2Q2024.pdf</w:t>
      </w:r>
      <w:r>
        <w:t xml:space="preserve">. The fund’s long term annualized return net of fees is similar to that of the S&amp;P 500. </w:t>
      </w:r>
      <w:r w:rsidRPr="00832881">
        <w:rPr>
          <w:i/>
          <w:iCs/>
        </w:rPr>
        <w:t>See</w:t>
      </w:r>
      <w:r>
        <w:t xml:space="preserve"> Arjuna Capital, </w:t>
      </w:r>
      <w:r w:rsidRPr="00000FA4">
        <w:rPr>
          <w:i/>
          <w:iCs/>
        </w:rPr>
        <w:t>Historical Performance</w:t>
      </w:r>
      <w:r>
        <w:t xml:space="preserve">, </w:t>
      </w:r>
      <w:r w:rsidRPr="00191C8A">
        <w:t>https://arjuna-capital.com/s/Arjuna-Capital-Global-350-Performance-Net-Gross-as-of-6302024-bn8z.pdf</w:t>
      </w:r>
      <w:r>
        <w:t xml:space="preserve"> (since inception in November 2025, Arjuna 350’s annualized return net of fees was 12.3% and the S&amp;P 500’s annualized return during that time was 12.9%).</w:t>
      </w:r>
    </w:p>
  </w:footnote>
  <w:footnote w:id="86">
    <w:p w14:paraId="3E68B550" w14:textId="46E1DB24" w:rsidR="006F1644" w:rsidRDefault="006F1644" w:rsidP="00975FEC">
      <w:pPr>
        <w:pStyle w:val="FootnoteText"/>
        <w:jc w:val="both"/>
      </w:pPr>
      <w:r>
        <w:rPr>
          <w:rStyle w:val="FootnoteReference"/>
        </w:rPr>
        <w:footnoteRef/>
      </w:r>
      <w:r>
        <w:t xml:space="preserve"> A fund could avoid this problem by marketing itself as dedicated to engaging in transformational acquisition disclose that its risk-adjusted returns will be meaningfully below the expected return from a market-based index fund. We are not aware of any such fund, however, a fact which may suggest that most equity investors are not really willing to significantly trade off financial returns for socially beneficial corporate behavior. </w:t>
      </w:r>
    </w:p>
  </w:footnote>
  <w:footnote w:id="87">
    <w:p w14:paraId="5E31BF29" w14:textId="5C74ADAB" w:rsidR="006F1644" w:rsidRDefault="006F1644">
      <w:pPr>
        <w:pStyle w:val="FootnoteText"/>
      </w:pPr>
      <w:r>
        <w:rPr>
          <w:rStyle w:val="FootnoteReference"/>
        </w:rPr>
        <w:footnoteRef/>
      </w:r>
      <w:r>
        <w:t xml:space="preserve"> In a proxy fight, an insurgent shareholder tries to secure proxies from the corporation’s other shareholders for the purpose of voting those shares in favor of one or more competing directors supported by the insurgent, who seeks to replace the incumbent directors. For discussion of the relevance of traditional proxy fights in shaping corporate governance and managerial incentives, see</w:t>
      </w:r>
      <w:r>
        <w:rPr>
          <w:i/>
        </w:rPr>
        <w:t xml:space="preserve"> </w:t>
      </w:r>
      <w:r>
        <w:t xml:space="preserve">Lucian A. Bebchuk &amp; Marcel Kahan, </w:t>
      </w:r>
      <w:r w:rsidRPr="008A2632">
        <w:rPr>
          <w:i/>
          <w:iCs/>
        </w:rPr>
        <w:t>A Framework for Analyzing Legal Policy Towards Proxy Contests</w:t>
      </w:r>
      <w:r>
        <w:t xml:space="preserve">, 78 </w:t>
      </w:r>
      <w:r w:rsidRPr="008A2632">
        <w:rPr>
          <w:smallCaps/>
        </w:rPr>
        <w:t>Cal. L. Rev.</w:t>
      </w:r>
      <w:r>
        <w:t xml:space="preserve"> 1071, 1077-82 (1990).</w:t>
      </w:r>
    </w:p>
  </w:footnote>
  <w:footnote w:id="88">
    <w:p w14:paraId="67AE9F6D" w14:textId="0B3F70F0" w:rsidR="006F1644" w:rsidRPr="006A40F1" w:rsidRDefault="006F1644">
      <w:pPr>
        <w:pStyle w:val="FootnoteText"/>
        <w:rPr>
          <w:i/>
        </w:rPr>
      </w:pPr>
      <w:r>
        <w:rPr>
          <w:rStyle w:val="FootnoteReference"/>
        </w:rPr>
        <w:footnoteRef/>
      </w:r>
      <w:r>
        <w:t xml:space="preserve"> </w:t>
      </w:r>
      <w:r>
        <w:rPr>
          <w:i/>
        </w:rPr>
        <w:t xml:space="preserve">See </w:t>
      </w:r>
      <w:r>
        <w:rPr>
          <w:iCs/>
        </w:rPr>
        <w:t xml:space="preserve">Part </w:t>
      </w:r>
      <w:r>
        <w:t>II</w:t>
      </w:r>
      <w:r w:rsidR="00BD3871">
        <w:t>.D,</w:t>
      </w:r>
      <w:r>
        <w:t xml:space="preserve"> </w:t>
      </w:r>
      <w:r>
        <w:rPr>
          <w:i/>
        </w:rPr>
        <w:t>supra.</w:t>
      </w:r>
    </w:p>
  </w:footnote>
  <w:footnote w:id="89">
    <w:p w14:paraId="12141E2D" w14:textId="7AB32B58" w:rsidR="006F1644" w:rsidRDefault="006F1644" w:rsidP="00975FEC">
      <w:pPr>
        <w:pStyle w:val="FootnoteText"/>
        <w:jc w:val="both"/>
      </w:pPr>
      <w:r>
        <w:rPr>
          <w:rStyle w:val="FootnoteReference"/>
        </w:rPr>
        <w:footnoteRef/>
      </w:r>
      <w:r>
        <w:t xml:space="preserve"> There may sometimes be a simultaneous effect working in the opposite direction. As noted in the text, some kind of public divestment or boycott campaign is often what prompts some persons or entities who had been holding a corporation’s stock to engage in negative identity investing and dispose of these shares. Others, though, decide not to sell. Among these shareholders, the campaign, though not prompting them to sell, raises their consciousness concerning the corporate behavior giving rise to the boycott and provides them with information. This may be sufficient to crystalize their preferences in favor of the corporation altering this behavior. Institutions that decide not to sell in the face of such a campaign often signal their sympathy with the need for the corporation to change, but say they will be more effective at doing so if the retain the shares and “engage” with management. There is some logic in this response. To the extent they have an opportunity to vote in accordance with their now crystalized preferences, they are likely to do so. Without the campaign, they might not have. Still, f</w:t>
      </w:r>
      <w:r w:rsidRPr="001514FA">
        <w:rPr>
          <w:rFonts w:cs="Times New Roman"/>
        </w:rPr>
        <w:t xml:space="preserve">or </w:t>
      </w:r>
      <w:r>
        <w:rPr>
          <w:rFonts w:cs="Times New Roman"/>
        </w:rPr>
        <w:t xml:space="preserve">a </w:t>
      </w:r>
      <w:r w:rsidRPr="001514FA">
        <w:rPr>
          <w:rFonts w:cs="Times New Roman"/>
        </w:rPr>
        <w:t>corporation</w:t>
      </w:r>
      <w:r>
        <w:rPr>
          <w:rFonts w:cs="Times New Roman"/>
        </w:rPr>
        <w:t xml:space="preserve"> whose shareholder base is buffeted by these divestment campaign crosswinds, we doubt the effect of the impact on voting of the crystalized preferences among the shareholders remaining will outweigh the loss of the votes by the shareholders who do sell. </w:t>
      </w:r>
    </w:p>
  </w:footnote>
  <w:footnote w:id="90">
    <w:p w14:paraId="28D65F3E" w14:textId="7F31865A" w:rsidR="006F1644" w:rsidRDefault="006F1644" w:rsidP="00975FEC">
      <w:pPr>
        <w:pStyle w:val="FootnoteText"/>
        <w:jc w:val="both"/>
      </w:pPr>
      <w:r>
        <w:rPr>
          <w:rStyle w:val="FootnoteReference"/>
        </w:rPr>
        <w:footnoteRef/>
      </w:r>
      <w:r>
        <w:t xml:space="preserve"> For instance, a drop in a firm’s equity price would decrease managers’ stock-based compensation and increase the prospect of a proxy fight. </w:t>
      </w:r>
    </w:p>
  </w:footnote>
  <w:footnote w:id="91">
    <w:p w14:paraId="2465CECC" w14:textId="23C284FD" w:rsidR="006F1644" w:rsidRDefault="006F1644" w:rsidP="00975FEC">
      <w:pPr>
        <w:pStyle w:val="FootnoteText"/>
        <w:jc w:val="both"/>
      </w:pPr>
      <w:r>
        <w:rPr>
          <w:rStyle w:val="FootnoteReference"/>
        </w:rPr>
        <w:footnoteRef/>
      </w:r>
      <w:r>
        <w:t xml:space="preserve"> </w:t>
      </w:r>
      <w:r>
        <w:rPr>
          <w:rFonts w:cs="Times New Roman"/>
        </w:rPr>
        <w:t xml:space="preserve">While we leave for future work analysis of sorting and price effects under different specifications of the economy’s profit sacrificers, it is worth noting here that the </w:t>
      </w:r>
      <w:r>
        <w:t>analysis will vary depending on the assumed preferences of those sacrificers. Most important, those preferences will influence the likelihood of investor sorting.  For instance, suppose that instead of falling within the “market imperfection” category developed in Part I, profit sacrificers fall within the third category, that is, investors who want one or more firms to forgo share value maximization because those firms’ operations affect the investor in some way beyond just the receipt of residuals. As discussed in Part I, one driver of these preferences is the common ownership circumstance, in which some of a firm’s shareholders have a concurrent equity interest in one or more of the firm’s rivals and therefore prefer the firm abandon share value maximization in order to increase those rival firms’ profitability. Investor sorting may be very limited in this circumstance. The extensive common ownership we currently observe among publicly traded companies is largely the result of the dominance of large index funds</w:t>
      </w:r>
      <w:r w:rsidR="00E41C9D">
        <w:t xml:space="preserve">. </w:t>
      </w:r>
      <w:r>
        <w:t xml:space="preserve">Because index funds base their buy and sell positions on replicating the composition of a particular market index, the funds’ very nature precludes the possibility that they will make their buying and selling decisions based on their profit sacrificing preferences. This will not necessarily be the case for other types of shareholders within the third category developed in Part I. Take another shareholder type within this category: shareholders who prefer that firms deviate from share value maximization because of the differential tax treatment of capital gains and dividends. More shareholder sorting can be expected in this circumstance than in the common ownership circumstance because of the findings of the literature on the clientele effect, which postulates and shows that investors make buy and sell decisions based on firms’ dividend policies. </w:t>
      </w:r>
    </w:p>
  </w:footnote>
  <w:footnote w:id="92">
    <w:p w14:paraId="70BB3090" w14:textId="6B36F310" w:rsidR="006F1644" w:rsidRDefault="006F1644" w:rsidP="00975FEC">
      <w:pPr>
        <w:pStyle w:val="FootnoteText"/>
        <w:jc w:val="both"/>
      </w:pPr>
      <w:r>
        <w:rPr>
          <w:rStyle w:val="FootnoteReference"/>
        </w:rPr>
        <w:footnoteRef/>
      </w:r>
      <w:r>
        <w:t xml:space="preserve"> This specification emulates the framework of models developed in the financial economics literature to evaluate the effect of a socially conscious shareholder base on asset prices. </w:t>
      </w:r>
      <w:r>
        <w:rPr>
          <w:i/>
          <w:iCs/>
        </w:rPr>
        <w:t>See, e.g.</w:t>
      </w:r>
      <w:r>
        <w:t xml:space="preserve">, </w:t>
      </w:r>
      <w:r>
        <w:rPr>
          <w:rFonts w:cs="Times New Roman"/>
        </w:rPr>
        <w:t xml:space="preserve">Robert Heinkel, Alan Kraus &amp; Josef Zechner, </w:t>
      </w:r>
      <w:r>
        <w:rPr>
          <w:rFonts w:cs="Times New Roman"/>
          <w:i/>
          <w:iCs/>
        </w:rPr>
        <w:t>The Effect of Green Investment on Corporate Behavior</w:t>
      </w:r>
      <w:r>
        <w:rPr>
          <w:rFonts w:cs="Times New Roman"/>
        </w:rPr>
        <w:t xml:space="preserve">, 36 </w:t>
      </w:r>
      <w:r>
        <w:rPr>
          <w:rFonts w:cs="Times New Roman"/>
          <w:smallCaps/>
        </w:rPr>
        <w:t xml:space="preserve">J. Fin. &amp; Quant Analysis </w:t>
      </w:r>
      <w:r>
        <w:rPr>
          <w:rFonts w:cs="Times New Roman"/>
        </w:rPr>
        <w:t xml:space="preserve">431 (2001) (modeling two investor types, where one type refuses to hold the shares of a subset of firms); H. Arthur Luo &amp; Ronald J. Balvers, Social Screens and Systematic Investor Boycott Risk, 52 J Fin. &amp; Quant. Analysis 365 (2017) (similar); Jonathan Berk &amp; Jules H. van Binsbergen, </w:t>
      </w:r>
      <w:r>
        <w:rPr>
          <w:rFonts w:cs="Times New Roman"/>
          <w:i/>
          <w:iCs/>
        </w:rPr>
        <w:t>The Impact of Impact Investing</w:t>
      </w:r>
      <w:r>
        <w:rPr>
          <w:rFonts w:cs="Times New Roman"/>
        </w:rPr>
        <w:t xml:space="preserve"> (2024), </w:t>
      </w:r>
      <w:r w:rsidRPr="00484FEE">
        <w:rPr>
          <w:rFonts w:cs="Times New Roman"/>
        </w:rPr>
        <w:t>https://papers.ssrn.com/sol3/papers.cfm?abstract_id=3909166</w:t>
      </w:r>
      <w:r>
        <w:rPr>
          <w:rFonts w:cs="Times New Roman"/>
        </w:rPr>
        <w:t xml:space="preserve"> (similar). </w:t>
      </w:r>
      <w:r>
        <w:rPr>
          <w:rFonts w:cs="Times New Roman"/>
          <w:i/>
          <w:iCs/>
        </w:rPr>
        <w:t>See also</w:t>
      </w:r>
      <w:r>
        <w:rPr>
          <w:rFonts w:cs="Times New Roman"/>
        </w:rPr>
        <w:t xml:space="preserve"> Oliver Davis Zerbib, </w:t>
      </w:r>
      <w:r>
        <w:rPr>
          <w:rFonts w:cs="Times New Roman"/>
          <w:i/>
          <w:iCs/>
        </w:rPr>
        <w:t>A Sustainable Capital Asset Pricing Model (S-CAPM): Evidence from Environmental Integration and Sin Stock Exclusion</w:t>
      </w:r>
      <w:r>
        <w:rPr>
          <w:rFonts w:cs="Times New Roman"/>
        </w:rPr>
        <w:t xml:space="preserve">, </w:t>
      </w:r>
      <w:r>
        <w:rPr>
          <w:rFonts w:cs="Times New Roman"/>
          <w:smallCaps/>
        </w:rPr>
        <w:t>Rev. Fin.</w:t>
      </w:r>
      <w:r>
        <w:rPr>
          <w:rFonts w:cs="Times New Roman"/>
        </w:rPr>
        <w:t xml:space="preserve"> 1345 (2022) (modelling two investor types, where one type refuses to hold the shares of a subset of firms and holds the shares of every remaining firm but at an amount determined by the extent of the firm’s externality).   </w:t>
      </w:r>
    </w:p>
  </w:footnote>
  <w:footnote w:id="93">
    <w:p w14:paraId="2E2A4844" w14:textId="57270096" w:rsidR="006F1644" w:rsidRDefault="006F1644" w:rsidP="00975FEC">
      <w:pPr>
        <w:pStyle w:val="FootnoteText"/>
        <w:jc w:val="both"/>
        <w:rPr>
          <w:rFonts w:cs="Times New Roman"/>
        </w:rPr>
      </w:pPr>
      <w:r>
        <w:rPr>
          <w:rStyle w:val="FootnoteReference"/>
          <w:rFonts w:cs="Times New Roman"/>
        </w:rPr>
        <w:footnoteRef/>
      </w:r>
      <w:r>
        <w:rPr>
          <w:rFonts w:cs="Times New Roman"/>
        </w:rPr>
        <w:t xml:space="preserve"> For more discussion of arbitrage in the context of impact investing, see </w:t>
      </w:r>
      <w:r w:rsidRPr="007433AA">
        <w:rPr>
          <w:rFonts w:cs="Times New Roman"/>
        </w:rPr>
        <w:t>Paul Brest, Ronald J. Gilson &amp; Mark A. Wolfson, </w:t>
      </w:r>
      <w:r w:rsidRPr="007433AA">
        <w:rPr>
          <w:rFonts w:cs="Times New Roman"/>
          <w:i/>
          <w:iCs/>
        </w:rPr>
        <w:t>How Investors Can (and Can't) Create Social Value</w:t>
      </w:r>
      <w:r w:rsidRPr="007433AA">
        <w:rPr>
          <w:rFonts w:cs="Times New Roman"/>
        </w:rPr>
        <w:t>, 44 </w:t>
      </w:r>
      <w:r w:rsidRPr="007433AA">
        <w:rPr>
          <w:rFonts w:cs="Times New Roman"/>
          <w:smallCaps/>
        </w:rPr>
        <w:t>J. Corp. L.</w:t>
      </w:r>
      <w:r w:rsidRPr="007433AA">
        <w:rPr>
          <w:rFonts w:cs="Times New Roman"/>
        </w:rPr>
        <w:t> 205</w:t>
      </w:r>
      <w:r>
        <w:rPr>
          <w:rFonts w:cs="Times New Roman"/>
        </w:rPr>
        <w:t>, 217</w:t>
      </w:r>
      <w:r w:rsidRPr="007433AA">
        <w:rPr>
          <w:rFonts w:cs="Times New Roman"/>
        </w:rPr>
        <w:t xml:space="preserve"> (2018).</w:t>
      </w:r>
    </w:p>
  </w:footnote>
  <w:footnote w:id="94">
    <w:p w14:paraId="5B679142" w14:textId="77777777" w:rsidR="006F1644" w:rsidRDefault="006F1644" w:rsidP="00975FEC">
      <w:pPr>
        <w:pStyle w:val="FootnoteText"/>
        <w:jc w:val="both"/>
      </w:pPr>
      <w:r>
        <w:rPr>
          <w:rStyle w:val="FootnoteReference"/>
        </w:rPr>
        <w:footnoteRef/>
      </w:r>
      <w:r>
        <w:t xml:space="preserve"> As the profit sacrificers reallocate their investment dollars to the non-polluting firms, the share prices of those firms might initially rise. </w:t>
      </w:r>
    </w:p>
  </w:footnote>
  <w:footnote w:id="95">
    <w:p w14:paraId="2F3C7515" w14:textId="33D8B4CA" w:rsidR="006F1644" w:rsidRDefault="006F1644" w:rsidP="00975FEC">
      <w:pPr>
        <w:pStyle w:val="FootnoteText"/>
        <w:jc w:val="both"/>
        <w:rPr>
          <w:rFonts w:cs="Times New Roman"/>
        </w:rPr>
      </w:pPr>
      <w:r>
        <w:rPr>
          <w:rStyle w:val="FootnoteReference"/>
          <w:rFonts w:cs="Times New Roman"/>
        </w:rPr>
        <w:footnoteRef/>
      </w:r>
      <w:r>
        <w:rPr>
          <w:rFonts w:cs="Times New Roman"/>
        </w:rPr>
        <w:t xml:space="preserve"> In order to isolate the effect of the divestiture, assume that all firms’ future cash flows are the same in expectation and have the same risk characteristics.</w:t>
      </w:r>
    </w:p>
  </w:footnote>
  <w:footnote w:id="96">
    <w:p w14:paraId="183E1B7E" w14:textId="0B8D2356" w:rsidR="006F1644" w:rsidRDefault="006F1644">
      <w:pPr>
        <w:pStyle w:val="FootnoteText"/>
      </w:pPr>
      <w:r>
        <w:rPr>
          <w:rStyle w:val="FootnoteReference"/>
        </w:rPr>
        <w:footnoteRef/>
      </w:r>
      <w:r>
        <w:t xml:space="preserve"> </w:t>
      </w:r>
      <w:r>
        <w:rPr>
          <w:i/>
        </w:rPr>
        <w:t>See</w:t>
      </w:r>
      <w:r>
        <w:t xml:space="preserve"> Myron S. Scholes, </w:t>
      </w:r>
      <w:r w:rsidRPr="00DD24A1">
        <w:rPr>
          <w:i/>
        </w:rPr>
        <w:t>T</w:t>
      </w:r>
      <w:r w:rsidRPr="00FB7D1F">
        <w:rPr>
          <w:i/>
        </w:rPr>
        <w:t>he Market for S</w:t>
      </w:r>
      <w:r w:rsidRPr="00DD24A1">
        <w:rPr>
          <w:i/>
        </w:rPr>
        <w:t xml:space="preserve">ecurities: Substitution versus </w:t>
      </w:r>
      <w:r>
        <w:rPr>
          <w:i/>
        </w:rPr>
        <w:t>P</w:t>
      </w:r>
      <w:r w:rsidRPr="00DD24A1">
        <w:rPr>
          <w:i/>
        </w:rPr>
        <w:t xml:space="preserve">rice </w:t>
      </w:r>
      <w:r>
        <w:rPr>
          <w:i/>
        </w:rPr>
        <w:t>P</w:t>
      </w:r>
      <w:r w:rsidRPr="00DD24A1">
        <w:rPr>
          <w:i/>
        </w:rPr>
        <w:t xml:space="preserve">ressure and the </w:t>
      </w:r>
      <w:r w:rsidRPr="006432F1">
        <w:rPr>
          <w:i/>
        </w:rPr>
        <w:t>Effects of Information on Share Price</w:t>
      </w:r>
      <w:r w:rsidRPr="006432F1">
        <w:t xml:space="preserve">, 45 </w:t>
      </w:r>
      <w:r w:rsidRPr="006432F1">
        <w:rPr>
          <w:smallCaps/>
        </w:rPr>
        <w:t xml:space="preserve">J. of Bus. </w:t>
      </w:r>
      <w:r w:rsidRPr="006432F1">
        <w:t>179, 182 (1972) (“[T]he market will price assets such that the expected rates of return on assets of similar risk are equal. If any particular asset should be selling to yield a higher expected return due solely to the increase in the quantity of shares outstanding . . . investors seeing these profit opportunities would soon arbitrage them away”).</w:t>
      </w:r>
    </w:p>
  </w:footnote>
  <w:footnote w:id="97">
    <w:p w14:paraId="62FE439A" w14:textId="77777777" w:rsidR="006F1644" w:rsidRDefault="006F1644" w:rsidP="00BA69F6">
      <w:pPr>
        <w:pStyle w:val="FootnoteText"/>
      </w:pPr>
      <w:r>
        <w:rPr>
          <w:rStyle w:val="FootnoteReference"/>
        </w:rPr>
        <w:footnoteRef/>
      </w:r>
      <w:r>
        <w:t xml:space="preserve"> Of course, arbitrage may not operate so perfectly in actual markets. </w:t>
      </w:r>
      <w:r w:rsidRPr="006432F1">
        <w:rPr>
          <w:i/>
        </w:rPr>
        <w:t>See, e.g.,</w:t>
      </w:r>
      <w:r w:rsidRPr="006432F1">
        <w:t xml:space="preserve"> Jeffrey Wurgler &amp; Ekaterina Zhuravskaya, </w:t>
      </w:r>
      <w:r w:rsidRPr="006432F1">
        <w:rPr>
          <w:i/>
        </w:rPr>
        <w:t>Does Arbitrage Flatten Demand Curves for Stocks?</w:t>
      </w:r>
      <w:r w:rsidRPr="00BD3871">
        <w:rPr>
          <w:iCs/>
        </w:rPr>
        <w:t>,</w:t>
      </w:r>
      <w:r w:rsidRPr="006432F1">
        <w:t xml:space="preserve"> 75 </w:t>
      </w:r>
      <w:r w:rsidRPr="006432F1">
        <w:rPr>
          <w:smallCaps/>
        </w:rPr>
        <w:t>J. Bus</w:t>
      </w:r>
      <w:r w:rsidRPr="006432F1">
        <w:t>. 583 (2002)</w:t>
      </w:r>
      <w:r>
        <w:t xml:space="preserve"> (empirically showing that arbitrage can be hindered when stocks lack close substitutes).</w:t>
      </w:r>
    </w:p>
  </w:footnote>
  <w:footnote w:id="98">
    <w:p w14:paraId="3D6473E1" w14:textId="0F2FE5C3" w:rsidR="006F1644" w:rsidRDefault="006F1644" w:rsidP="00975FEC">
      <w:pPr>
        <w:pStyle w:val="FootnoteText"/>
        <w:jc w:val="both"/>
        <w:rPr>
          <w:rFonts w:cs="Times New Roman"/>
        </w:rPr>
      </w:pPr>
      <w:r>
        <w:rPr>
          <w:rStyle w:val="FootnoteReference"/>
          <w:rFonts w:cs="Times New Roman"/>
        </w:rPr>
        <w:footnoteRef/>
      </w:r>
      <w:r>
        <w:rPr>
          <w:rFonts w:cs="Times New Roman"/>
        </w:rPr>
        <w:t xml:space="preserve"> There is an interesting circularity in the question of whether, at least as a large and enduring phenomenon, sorting will have a significant effect on corporate behavior through its effect on price. Suppose that despite sorting being widespread for a period of time, it was seen not have a sufficient effect, if any, on share price to meaningfully alter the behavior of the economy’s firms. Identity investing might decline as shareholders rationally question why they continued to sort when it had no effect on firm behavior</w:t>
      </w:r>
      <w:r w:rsidRPr="009020B3">
        <w:rPr>
          <w:rFonts w:cs="Times New Roman"/>
        </w:rPr>
        <w:t>. One reason, however, why this scenario might not play out, or at least not fully, is the possibility that many identity investors may gain inherent disutility simply by being associated with firms that operate in certain industries or engage in certain conduct and thus sort even in the absence of any casual linkage between their investment approach and changes in corporate behavior.</w:t>
      </w:r>
    </w:p>
  </w:footnote>
  <w:footnote w:id="99">
    <w:p w14:paraId="51BE62FE" w14:textId="4CC8CC81" w:rsidR="006F1644" w:rsidRDefault="006F1644" w:rsidP="00975FEC">
      <w:pPr>
        <w:pStyle w:val="FootnoteText"/>
        <w:jc w:val="both"/>
        <w:rPr>
          <w:rFonts w:cs="Times New Roman"/>
        </w:rPr>
      </w:pPr>
      <w:r>
        <w:rPr>
          <w:rStyle w:val="FootnoteReference"/>
          <w:rFonts w:cs="Times New Roman"/>
        </w:rPr>
        <w:footnoteRef/>
      </w:r>
      <w:r>
        <w:rPr>
          <w:rFonts w:cs="Times New Roman"/>
        </w:rPr>
        <w:t xml:space="preserve"> </w:t>
      </w:r>
      <w:r w:rsidRPr="008C69CC">
        <w:rPr>
          <w:rFonts w:cs="Times New Roman"/>
          <w:i/>
          <w:iCs/>
        </w:rPr>
        <w:t>See</w:t>
      </w:r>
      <w:r>
        <w:rPr>
          <w:rFonts w:cs="Times New Roman"/>
        </w:rPr>
        <w:t xml:space="preserve"> Berk &amp; Binsbergen, </w:t>
      </w:r>
      <w:r>
        <w:rPr>
          <w:i/>
          <w:iCs/>
        </w:rPr>
        <w:t xml:space="preserve">supra </w:t>
      </w:r>
      <w:r>
        <w:t xml:space="preserve">note </w:t>
      </w:r>
      <w:r>
        <w:fldChar w:fldCharType="begin"/>
      </w:r>
      <w:r>
        <w:instrText xml:space="preserve"> NOTEREF _Ref178071587 \h  \* MERGEFORMAT </w:instrText>
      </w:r>
      <w:r>
        <w:fldChar w:fldCharType="separate"/>
      </w:r>
      <w:r w:rsidR="005B5BC3">
        <w:t>90</w:t>
      </w:r>
      <w:r>
        <w:fldChar w:fldCharType="end"/>
      </w:r>
      <w:r>
        <w:rPr>
          <w:rFonts w:cs="Times New Roman"/>
        </w:rPr>
        <w:t xml:space="preserve">.   </w:t>
      </w:r>
    </w:p>
  </w:footnote>
  <w:footnote w:id="100">
    <w:p w14:paraId="0FE88577" w14:textId="7A973A0C" w:rsidR="006F1644" w:rsidRDefault="006F1644" w:rsidP="00975FEC">
      <w:pPr>
        <w:pStyle w:val="FootnoteText"/>
        <w:jc w:val="both"/>
      </w:pPr>
      <w:r>
        <w:rPr>
          <w:rStyle w:val="FootnoteReference"/>
        </w:rPr>
        <w:footnoteRef/>
      </w:r>
      <w:r>
        <w:t xml:space="preserve"> </w:t>
      </w:r>
      <w:r>
        <w:rPr>
          <w:i/>
          <w:iCs/>
        </w:rPr>
        <w:t>See also</w:t>
      </w:r>
      <w:r>
        <w:t xml:space="preserve"> </w:t>
      </w:r>
      <w:r>
        <w:rPr>
          <w:i/>
          <w:iCs/>
        </w:rPr>
        <w:t xml:space="preserve">supra </w:t>
      </w:r>
      <w:r>
        <w:t xml:space="preserve">note </w:t>
      </w:r>
      <w:r>
        <w:fldChar w:fldCharType="begin"/>
      </w:r>
      <w:r>
        <w:instrText xml:space="preserve"> NOTEREF _Ref178071587 \h  \* MERGEFORMAT </w:instrText>
      </w:r>
      <w:r>
        <w:fldChar w:fldCharType="separate"/>
      </w:r>
      <w:r w:rsidR="005B5BC3">
        <w:t>90</w:t>
      </w:r>
      <w:r>
        <w:fldChar w:fldCharType="end"/>
      </w:r>
      <w:r>
        <w:t xml:space="preserve"> (other similar models).  </w:t>
      </w:r>
    </w:p>
  </w:footnote>
  <w:footnote w:id="101">
    <w:p w14:paraId="6654DBE1" w14:textId="77777777" w:rsidR="006F1644" w:rsidRDefault="006F1644" w:rsidP="00975FEC">
      <w:pPr>
        <w:pStyle w:val="FootnoteText"/>
        <w:jc w:val="both"/>
        <w:rPr>
          <w:rFonts w:cs="Times New Roman"/>
        </w:rPr>
      </w:pPr>
      <w:r>
        <w:rPr>
          <w:rStyle w:val="FootnoteReference"/>
          <w:rFonts w:cs="Times New Roman"/>
        </w:rPr>
        <w:footnoteRef/>
      </w:r>
      <w:r>
        <w:rPr>
          <w:rFonts w:cs="Times New Roman"/>
        </w:rPr>
        <w:t xml:space="preserve"> The ESG investors similarly will be over-weighted in the shares of the clean firms, but that apparently is a cost they are willing to bear due to their preferences. The non-ESG investors have no affirmative preference for dirty firms.</w:t>
      </w:r>
    </w:p>
  </w:footnote>
  <w:footnote w:id="102">
    <w:p w14:paraId="608422AC" w14:textId="42DFB8E4" w:rsidR="006F1644" w:rsidRDefault="006F1644" w:rsidP="00975FEC">
      <w:pPr>
        <w:pStyle w:val="FootnoteText"/>
        <w:jc w:val="both"/>
      </w:pPr>
      <w:r>
        <w:rPr>
          <w:rStyle w:val="FootnoteReference"/>
        </w:rPr>
        <w:footnoteRef/>
      </w:r>
      <w:r>
        <w:t xml:space="preserve"> In addition to the correlation between dirty and clean stocks, the other parameters that determine the magnitude of the price effect in Berk and Binsbergen’s model are</w:t>
      </w:r>
      <w:r>
        <w:rPr>
          <w:rFonts w:cs="Times New Roman"/>
        </w:rPr>
        <w:t xml:space="preserve"> (i) the percentage that the dirty shares represent as a proportion of the total capitalization of the market of both dirty and clean shares; (ii) the ratio of the wealth of ESG investors and the wealth of other investors; and (iii) and the historical market risk premium over the safe asset. </w:t>
      </w:r>
      <w:r>
        <w:rPr>
          <w:rFonts w:cs="Times New Roman"/>
          <w:i/>
          <w:iCs/>
        </w:rPr>
        <w:t>See</w:t>
      </w:r>
      <w:r>
        <w:rPr>
          <w:rFonts w:cs="Times New Roman"/>
        </w:rPr>
        <w:t xml:space="preserve"> Berk &amp; Binsbergen, </w:t>
      </w:r>
      <w:r>
        <w:rPr>
          <w:rFonts w:cs="Times New Roman"/>
          <w:i/>
          <w:iCs/>
        </w:rPr>
        <w:t>supra</w:t>
      </w:r>
      <w:r>
        <w:rPr>
          <w:rFonts w:cs="Times New Roman"/>
        </w:rPr>
        <w:t xml:space="preserve"> note </w:t>
      </w:r>
      <w:r>
        <w:rPr>
          <w:rFonts w:cs="Times New Roman"/>
        </w:rPr>
        <w:fldChar w:fldCharType="begin"/>
      </w:r>
      <w:r>
        <w:rPr>
          <w:rFonts w:cs="Times New Roman"/>
        </w:rPr>
        <w:instrText xml:space="preserve"> NOTEREF _Ref178071587 \h  \* MERGEFORMAT </w:instrText>
      </w:r>
      <w:r>
        <w:rPr>
          <w:rFonts w:cs="Times New Roman"/>
        </w:rPr>
      </w:r>
      <w:r>
        <w:rPr>
          <w:rFonts w:cs="Times New Roman"/>
        </w:rPr>
        <w:fldChar w:fldCharType="separate"/>
      </w:r>
      <w:r w:rsidR="005B5BC3">
        <w:rPr>
          <w:rFonts w:cs="Times New Roman"/>
        </w:rPr>
        <w:t>90</w:t>
      </w:r>
      <w:r>
        <w:rPr>
          <w:rFonts w:cs="Times New Roman"/>
        </w:rPr>
        <w:fldChar w:fldCharType="end"/>
      </w:r>
      <w:r>
        <w:rPr>
          <w:rFonts w:cs="Times New Roman"/>
        </w:rPr>
        <w:t xml:space="preserve">, at 13. With respect to comparative statics, the price effect increases with the percentage of dirty shares, because non-ESG investors have limited wealth and must be further induced to purchase additional dirty shares. See id. at 14. There is also a positive relationship between the price effect and the ratio of the wealth of ESG investors and the wealth of other investors, as the latter term measures the relative influence of ESG investors. </w:t>
      </w:r>
      <w:r>
        <w:rPr>
          <w:rFonts w:cs="Times New Roman"/>
          <w:i/>
          <w:iCs/>
        </w:rPr>
        <w:t>See</w:t>
      </w:r>
      <w:r>
        <w:rPr>
          <w:rFonts w:cs="Times New Roman"/>
        </w:rPr>
        <w:t xml:space="preserve"> Berk &amp; Binsbergen, </w:t>
      </w:r>
      <w:r>
        <w:rPr>
          <w:rFonts w:cs="Times New Roman"/>
          <w:i/>
          <w:iCs/>
        </w:rPr>
        <w:t>supra</w:t>
      </w:r>
      <w:r>
        <w:rPr>
          <w:rFonts w:cs="Times New Roman"/>
        </w:rPr>
        <w:t xml:space="preserve"> note </w:t>
      </w:r>
      <w:r>
        <w:rPr>
          <w:rFonts w:cs="Times New Roman"/>
        </w:rPr>
        <w:fldChar w:fldCharType="begin"/>
      </w:r>
      <w:r>
        <w:rPr>
          <w:rFonts w:cs="Times New Roman"/>
        </w:rPr>
        <w:instrText xml:space="preserve"> NOTEREF _Ref178071587 \h  \* MERGEFORMAT </w:instrText>
      </w:r>
      <w:r>
        <w:rPr>
          <w:rFonts w:cs="Times New Roman"/>
        </w:rPr>
      </w:r>
      <w:r>
        <w:rPr>
          <w:rFonts w:cs="Times New Roman"/>
        </w:rPr>
        <w:fldChar w:fldCharType="separate"/>
      </w:r>
      <w:r w:rsidR="005B5BC3">
        <w:rPr>
          <w:rFonts w:cs="Times New Roman"/>
        </w:rPr>
        <w:t>90</w:t>
      </w:r>
      <w:r>
        <w:rPr>
          <w:rFonts w:cs="Times New Roman"/>
        </w:rPr>
        <w:fldChar w:fldCharType="end"/>
      </w:r>
      <w:r>
        <w:rPr>
          <w:rFonts w:cs="Times New Roman"/>
        </w:rPr>
        <w:t>, at 13.</w:t>
      </w:r>
    </w:p>
  </w:footnote>
  <w:footnote w:id="103">
    <w:p w14:paraId="48331BD1" w14:textId="6C6625DE" w:rsidR="006F1644" w:rsidRDefault="006F1644" w:rsidP="00975FEC">
      <w:pPr>
        <w:pStyle w:val="FootnoteText"/>
        <w:jc w:val="both"/>
        <w:rPr>
          <w:rFonts w:cs="Times New Roman"/>
        </w:rPr>
      </w:pPr>
      <w:r>
        <w:rPr>
          <w:rStyle w:val="FootnoteReference"/>
          <w:rFonts w:cs="Times New Roman"/>
        </w:rPr>
        <w:footnoteRef/>
      </w:r>
      <w:r>
        <w:rPr>
          <w:rFonts w:cs="Times New Roman"/>
        </w:rPr>
        <w:t xml:space="preserve"> Berk &amp; Binsbergen, </w:t>
      </w:r>
      <w:r>
        <w:rPr>
          <w:rFonts w:cs="Times New Roman"/>
          <w:i/>
          <w:iCs/>
        </w:rPr>
        <w:t>supra</w:t>
      </w:r>
      <w:r>
        <w:rPr>
          <w:rFonts w:cs="Times New Roman"/>
        </w:rPr>
        <w:t xml:space="preserve"> note </w:t>
      </w:r>
      <w:r>
        <w:rPr>
          <w:rFonts w:cs="Times New Roman"/>
        </w:rPr>
        <w:fldChar w:fldCharType="begin"/>
      </w:r>
      <w:r>
        <w:rPr>
          <w:rFonts w:cs="Times New Roman"/>
        </w:rPr>
        <w:instrText xml:space="preserve"> NOTEREF _Ref178071587 \h  \* MERGEFORMAT </w:instrText>
      </w:r>
      <w:r>
        <w:rPr>
          <w:rFonts w:cs="Times New Roman"/>
        </w:rPr>
      </w:r>
      <w:r>
        <w:rPr>
          <w:rFonts w:cs="Times New Roman"/>
        </w:rPr>
        <w:fldChar w:fldCharType="separate"/>
      </w:r>
      <w:r w:rsidR="005B5BC3">
        <w:rPr>
          <w:rFonts w:cs="Times New Roman"/>
        </w:rPr>
        <w:t>90</w:t>
      </w:r>
      <w:r>
        <w:rPr>
          <w:rFonts w:cs="Times New Roman"/>
        </w:rPr>
        <w:fldChar w:fldCharType="end"/>
      </w:r>
      <w:r>
        <w:rPr>
          <w:rFonts w:cs="Times New Roman"/>
        </w:rPr>
        <w:t xml:space="preserve">, at 15. </w:t>
      </w:r>
    </w:p>
  </w:footnote>
  <w:footnote w:id="104">
    <w:p w14:paraId="6BBEFA03" w14:textId="74821899" w:rsidR="006F1644" w:rsidRDefault="006F1644" w:rsidP="00975FEC">
      <w:pPr>
        <w:pStyle w:val="FootnoteText"/>
        <w:jc w:val="both"/>
      </w:pPr>
      <w:r>
        <w:rPr>
          <w:rStyle w:val="FootnoteReference"/>
        </w:rPr>
        <w:footnoteRef/>
      </w:r>
      <w:r>
        <w:t xml:space="preserve"> </w:t>
      </w:r>
      <w:r>
        <w:rPr>
          <w:i/>
          <w:iCs/>
        </w:rPr>
        <w:t>Id.</w:t>
      </w:r>
      <w:r>
        <w:t xml:space="preserve"> at 3. </w:t>
      </w:r>
      <w:r>
        <w:rPr>
          <w:rFonts w:cs="Times New Roman"/>
        </w:rPr>
        <w:t xml:space="preserve">Under their baseline analysis, </w:t>
      </w:r>
      <w:r>
        <w:rPr>
          <w:rFonts w:cs="Times New Roman"/>
          <w:i/>
          <w:iCs/>
        </w:rPr>
        <w:t>see infra</w:t>
      </w:r>
      <w:r>
        <w:rPr>
          <w:rFonts w:cs="Times New Roman"/>
        </w:rPr>
        <w:t xml:space="preserve"> note </w:t>
      </w:r>
      <w:r>
        <w:rPr>
          <w:rFonts w:cs="Times New Roman"/>
        </w:rPr>
        <w:fldChar w:fldCharType="begin"/>
      </w:r>
      <w:r>
        <w:rPr>
          <w:rFonts w:cs="Times New Roman"/>
        </w:rPr>
        <w:instrText xml:space="preserve"> NOTEREF _Ref178082851 \h  \* MERGEFORMAT </w:instrText>
      </w:r>
      <w:r>
        <w:rPr>
          <w:rFonts w:cs="Times New Roman"/>
        </w:rPr>
      </w:r>
      <w:r>
        <w:rPr>
          <w:rFonts w:cs="Times New Roman"/>
        </w:rPr>
        <w:fldChar w:fldCharType="separate"/>
      </w:r>
      <w:r w:rsidR="005B5BC3">
        <w:rPr>
          <w:rFonts w:cs="Times New Roman"/>
        </w:rPr>
        <w:t>103</w:t>
      </w:r>
      <w:r>
        <w:rPr>
          <w:rFonts w:cs="Times New Roman"/>
        </w:rPr>
        <w:fldChar w:fldCharType="end"/>
      </w:r>
      <w:r>
        <w:rPr>
          <w:rFonts w:cs="Times New Roman"/>
        </w:rPr>
        <w:t xml:space="preserve">, and holding fixed all other parameters, ESG investors would need to make up more than 80% of all investable wealth for there to be a 1% increase in the cost of capital of dirty firms relative to clean firms. </w:t>
      </w:r>
      <w:r>
        <w:rPr>
          <w:rFonts w:cs="Times New Roman"/>
          <w:i/>
          <w:iCs/>
        </w:rPr>
        <w:t>See id.</w:t>
      </w:r>
      <w:r>
        <w:rPr>
          <w:rFonts w:cs="Times New Roman"/>
        </w:rPr>
        <w:t xml:space="preserve"> at 3, 19.</w:t>
      </w:r>
    </w:p>
  </w:footnote>
  <w:footnote w:id="105">
    <w:p w14:paraId="0B6601DD" w14:textId="1C1E8F2C" w:rsidR="006F1644" w:rsidRDefault="006F1644" w:rsidP="00975FEC">
      <w:pPr>
        <w:pStyle w:val="FootnoteText"/>
        <w:jc w:val="both"/>
      </w:pPr>
      <w:r>
        <w:rPr>
          <w:rStyle w:val="FootnoteReference"/>
        </w:rPr>
        <w:footnoteRef/>
      </w:r>
      <w:r>
        <w:t xml:space="preserve"> As noted, in addition to the degree of risk substitutability, t</w:t>
      </w:r>
      <w:r>
        <w:rPr>
          <w:rFonts w:cs="Times New Roman"/>
        </w:rPr>
        <w:t xml:space="preserve">hree other parameters govern the extent of the price effect in Berk and Binsbergen’s model. </w:t>
      </w:r>
      <w:r>
        <w:rPr>
          <w:rFonts w:cs="Times New Roman"/>
          <w:i/>
          <w:iCs/>
        </w:rPr>
        <w:t xml:space="preserve">See </w:t>
      </w:r>
      <w:r>
        <w:rPr>
          <w:rFonts w:cs="Times New Roman"/>
        </w:rPr>
        <w:t xml:space="preserve">note </w:t>
      </w:r>
      <w:r>
        <w:rPr>
          <w:rFonts w:cs="Times New Roman"/>
        </w:rPr>
        <w:fldChar w:fldCharType="begin"/>
      </w:r>
      <w:r>
        <w:rPr>
          <w:rFonts w:cs="Times New Roman"/>
        </w:rPr>
        <w:instrText xml:space="preserve"> NOTEREF _Ref178073136 \h  \* MERGEFORMAT </w:instrText>
      </w:r>
      <w:r>
        <w:rPr>
          <w:rFonts w:cs="Times New Roman"/>
        </w:rPr>
      </w:r>
      <w:r>
        <w:rPr>
          <w:rFonts w:cs="Times New Roman"/>
        </w:rPr>
        <w:fldChar w:fldCharType="separate"/>
      </w:r>
      <w:r w:rsidR="005B5BC3">
        <w:rPr>
          <w:rFonts w:cs="Times New Roman"/>
        </w:rPr>
        <w:t>100</w:t>
      </w:r>
      <w:r>
        <w:rPr>
          <w:rFonts w:cs="Times New Roman"/>
        </w:rPr>
        <w:fldChar w:fldCharType="end"/>
      </w:r>
      <w:r>
        <w:rPr>
          <w:rFonts w:cs="Times New Roman"/>
        </w:rPr>
        <w:t xml:space="preserve"> </w:t>
      </w:r>
      <w:r>
        <w:rPr>
          <w:rFonts w:cs="Times New Roman"/>
          <w:i/>
          <w:iCs/>
        </w:rPr>
        <w:t>supra</w:t>
      </w:r>
      <w:r>
        <w:rPr>
          <w:rFonts w:cs="Times New Roman"/>
        </w:rPr>
        <w:t xml:space="preserve">. Berk and Binsbergen set the following parameter values in their baseline analysis: risk substitutability equal to 93%; percentage of dirty shares as a proportion of total market capitalization equal to 27%; ratio of wealth of ESG investors to other investors equal to 2%; and historical market risk premium of 6%. </w:t>
      </w:r>
      <w:r>
        <w:rPr>
          <w:rFonts w:cs="Times New Roman"/>
          <w:i/>
          <w:iCs/>
        </w:rPr>
        <w:t xml:space="preserve">See </w:t>
      </w:r>
      <w:r>
        <w:rPr>
          <w:rFonts w:cs="Times New Roman"/>
        </w:rPr>
        <w:t xml:space="preserve">Berk &amp; Binsbergen, </w:t>
      </w:r>
      <w:r>
        <w:rPr>
          <w:rFonts w:cs="Times New Roman"/>
          <w:i/>
          <w:iCs/>
        </w:rPr>
        <w:t>supra</w:t>
      </w:r>
      <w:r>
        <w:rPr>
          <w:rFonts w:cs="Times New Roman"/>
        </w:rPr>
        <w:t xml:space="preserve"> note </w:t>
      </w:r>
      <w:r>
        <w:rPr>
          <w:rFonts w:cs="Times New Roman"/>
        </w:rPr>
        <w:fldChar w:fldCharType="begin"/>
      </w:r>
      <w:r>
        <w:rPr>
          <w:rFonts w:cs="Times New Roman"/>
        </w:rPr>
        <w:instrText xml:space="preserve"> NOTEREF _Ref178071587 \h  \* MERGEFORMAT </w:instrText>
      </w:r>
      <w:r>
        <w:rPr>
          <w:rFonts w:cs="Times New Roman"/>
        </w:rPr>
      </w:r>
      <w:r>
        <w:rPr>
          <w:rFonts w:cs="Times New Roman"/>
        </w:rPr>
        <w:fldChar w:fldCharType="separate"/>
      </w:r>
      <w:r w:rsidR="005B5BC3">
        <w:rPr>
          <w:rFonts w:cs="Times New Roman"/>
        </w:rPr>
        <w:t>90</w:t>
      </w:r>
      <w:r>
        <w:rPr>
          <w:rFonts w:cs="Times New Roman"/>
        </w:rPr>
        <w:fldChar w:fldCharType="end"/>
      </w:r>
      <w:r>
        <w:rPr>
          <w:rFonts w:cs="Times New Roman"/>
        </w:rPr>
        <w:t xml:space="preserve">, at 14-15. They derive the first two values using data from 2015 to 2020 and the third value using data from 2021. </w:t>
      </w:r>
      <w:r>
        <w:rPr>
          <w:rFonts w:cs="Times New Roman"/>
          <w:i/>
          <w:iCs/>
        </w:rPr>
        <w:t>See id.</w:t>
      </w:r>
      <w:r>
        <w:rPr>
          <w:rFonts w:cs="Times New Roman"/>
        </w:rPr>
        <w:t xml:space="preserve"> at 14-15. Berk and Binsbergen conduct three other parametrizations of their model but the increase in the dirty firms’ costs of capital – and hence discount rate – caused by the divestiture does not exceed 11 basis points in any of those parameterizations. </w:t>
      </w:r>
      <w:r>
        <w:rPr>
          <w:rFonts w:cs="Times New Roman"/>
          <w:i/>
          <w:iCs/>
        </w:rPr>
        <w:t>See</w:t>
      </w:r>
      <w:r>
        <w:rPr>
          <w:rFonts w:cs="Times New Roman"/>
        </w:rPr>
        <w:t xml:space="preserve"> Berk &amp; Binsbergen, </w:t>
      </w:r>
      <w:r>
        <w:rPr>
          <w:rFonts w:cs="Times New Roman"/>
          <w:i/>
          <w:iCs/>
        </w:rPr>
        <w:t>supra</w:t>
      </w:r>
      <w:r>
        <w:rPr>
          <w:rFonts w:cs="Times New Roman"/>
        </w:rPr>
        <w:t xml:space="preserve"> note </w:t>
      </w:r>
      <w:r>
        <w:rPr>
          <w:rFonts w:cs="Times New Roman"/>
        </w:rPr>
        <w:fldChar w:fldCharType="begin"/>
      </w:r>
      <w:r>
        <w:rPr>
          <w:rFonts w:cs="Times New Roman"/>
        </w:rPr>
        <w:instrText xml:space="preserve"> NOTEREF _Ref178071587 \h  \* MERGEFORMAT </w:instrText>
      </w:r>
      <w:r>
        <w:rPr>
          <w:rFonts w:cs="Times New Roman"/>
        </w:rPr>
      </w:r>
      <w:r>
        <w:rPr>
          <w:rFonts w:cs="Times New Roman"/>
        </w:rPr>
        <w:fldChar w:fldCharType="separate"/>
      </w:r>
      <w:r w:rsidR="005B5BC3">
        <w:rPr>
          <w:rFonts w:cs="Times New Roman"/>
        </w:rPr>
        <w:t>90</w:t>
      </w:r>
      <w:r>
        <w:rPr>
          <w:rFonts w:cs="Times New Roman"/>
        </w:rPr>
        <w:fldChar w:fldCharType="end"/>
      </w:r>
      <w:r>
        <w:rPr>
          <w:rFonts w:cs="Times New Roman"/>
        </w:rPr>
        <w:t xml:space="preserve">, at 16-17. </w:t>
      </w:r>
    </w:p>
  </w:footnote>
  <w:footnote w:id="106">
    <w:p w14:paraId="63621F66" w14:textId="256C08AB" w:rsidR="006F1644" w:rsidRDefault="006F1644" w:rsidP="00975FEC">
      <w:pPr>
        <w:pStyle w:val="FootnoteText"/>
        <w:jc w:val="both"/>
      </w:pPr>
      <w:r>
        <w:rPr>
          <w:rStyle w:val="FootnoteReference"/>
        </w:rPr>
        <w:footnoteRef/>
      </w:r>
      <w:r>
        <w:t xml:space="preserve"> Zerbib,</w:t>
      </w:r>
      <w:r>
        <w:rPr>
          <w:rFonts w:cs="Times New Roman"/>
        </w:rPr>
        <w:t xml:space="preserve"> </w:t>
      </w:r>
      <w:r>
        <w:rPr>
          <w:rFonts w:cs="Times New Roman"/>
          <w:i/>
          <w:iCs/>
        </w:rPr>
        <w:t>supra</w:t>
      </w:r>
      <w:r>
        <w:rPr>
          <w:rFonts w:cs="Times New Roman"/>
        </w:rPr>
        <w:t xml:space="preserve"> note </w:t>
      </w:r>
      <w:r>
        <w:rPr>
          <w:rFonts w:cs="Times New Roman"/>
        </w:rPr>
        <w:fldChar w:fldCharType="begin"/>
      </w:r>
      <w:r>
        <w:rPr>
          <w:rFonts w:cs="Times New Roman"/>
        </w:rPr>
        <w:instrText xml:space="preserve"> NOTEREF _Ref178071587 \h  \* MERGEFORMAT </w:instrText>
      </w:r>
      <w:r>
        <w:rPr>
          <w:rFonts w:cs="Times New Roman"/>
        </w:rPr>
      </w:r>
      <w:r>
        <w:rPr>
          <w:rFonts w:cs="Times New Roman"/>
        </w:rPr>
        <w:fldChar w:fldCharType="separate"/>
      </w:r>
      <w:r w:rsidR="005B5BC3">
        <w:rPr>
          <w:rFonts w:cs="Times New Roman"/>
        </w:rPr>
        <w:t>90</w:t>
      </w:r>
      <w:r>
        <w:rPr>
          <w:rFonts w:cs="Times New Roman"/>
        </w:rPr>
        <w:fldChar w:fldCharType="end"/>
      </w:r>
      <w:r>
        <w:rPr>
          <w:rFonts w:cs="Times New Roman"/>
        </w:rPr>
        <w:t xml:space="preserve">. In Zerbib’s model, ESG investors engage in sorting by both divesting the shares of a subset of firms and by weighting their equity holdings in the remaining firms by the extent of those firms’ negative externalities. </w:t>
      </w:r>
      <w:r>
        <w:rPr>
          <w:rFonts w:cs="Times New Roman"/>
          <w:i/>
          <w:iCs/>
        </w:rPr>
        <w:t>See id.</w:t>
      </w:r>
      <w:r>
        <w:rPr>
          <w:rFonts w:cs="Times New Roman"/>
        </w:rPr>
        <w:t xml:space="preserve"> at 1351-52.</w:t>
      </w:r>
    </w:p>
  </w:footnote>
  <w:footnote w:id="107">
    <w:p w14:paraId="465B7B06" w14:textId="77777777" w:rsidR="006F1644" w:rsidRDefault="006F1644" w:rsidP="00975FEC">
      <w:pPr>
        <w:pStyle w:val="FootnoteText"/>
        <w:jc w:val="both"/>
      </w:pPr>
      <w:r>
        <w:rPr>
          <w:rStyle w:val="FootnoteReference"/>
        </w:rPr>
        <w:footnoteRef/>
      </w:r>
      <w:r>
        <w:t xml:space="preserve"> </w:t>
      </w:r>
      <w:r>
        <w:rPr>
          <w:i/>
          <w:iCs/>
        </w:rPr>
        <w:t>See id.</w:t>
      </w:r>
      <w:r>
        <w:t xml:space="preserve"> at 1379.</w:t>
      </w:r>
    </w:p>
  </w:footnote>
  <w:footnote w:id="108">
    <w:p w14:paraId="3E8B6F65" w14:textId="3075D48A" w:rsidR="006F1644" w:rsidRDefault="006F1644" w:rsidP="00975FEC">
      <w:pPr>
        <w:pStyle w:val="FootnoteText"/>
        <w:jc w:val="both"/>
      </w:pPr>
      <w:r>
        <w:rPr>
          <w:rStyle w:val="FootnoteReference"/>
        </w:rPr>
        <w:footnoteRef/>
      </w:r>
      <w:r>
        <w:t xml:space="preserve"> </w:t>
      </w:r>
      <w:r>
        <w:rPr>
          <w:i/>
          <w:iCs/>
        </w:rPr>
        <w:t>See id.</w:t>
      </w:r>
      <w:r>
        <w:t xml:space="preserve"> at 1375 (finding an 2.79% exclusion effect of the divested stocks over the period December 1999 to December 2006). </w:t>
      </w:r>
    </w:p>
  </w:footnote>
  <w:footnote w:id="109">
    <w:p w14:paraId="063D43D8" w14:textId="0C49CFA3" w:rsidR="006F1644" w:rsidRDefault="006F1644" w:rsidP="00975FEC">
      <w:pPr>
        <w:pStyle w:val="FootnoteText"/>
        <w:jc w:val="both"/>
      </w:pPr>
      <w:r>
        <w:rPr>
          <w:rStyle w:val="FootnoteReference"/>
        </w:rPr>
        <w:footnoteRef/>
      </w:r>
      <w:r>
        <w:t xml:space="preserve"> </w:t>
      </w:r>
      <w:r>
        <w:rPr>
          <w:i/>
          <w:iCs/>
        </w:rPr>
        <w:t>See</w:t>
      </w:r>
      <w:r>
        <w:t xml:space="preserve"> Luo &amp; Balvers, </w:t>
      </w:r>
      <w:r>
        <w:rPr>
          <w:rFonts w:cs="Times New Roman"/>
          <w:i/>
          <w:iCs/>
        </w:rPr>
        <w:t>supra</w:t>
      </w:r>
      <w:r>
        <w:rPr>
          <w:rFonts w:cs="Times New Roman"/>
        </w:rPr>
        <w:t xml:space="preserve"> note </w:t>
      </w:r>
      <w:r>
        <w:rPr>
          <w:rFonts w:cs="Times New Roman"/>
        </w:rPr>
        <w:fldChar w:fldCharType="begin"/>
      </w:r>
      <w:r>
        <w:rPr>
          <w:rFonts w:cs="Times New Roman"/>
        </w:rPr>
        <w:instrText xml:space="preserve"> NOTEREF _Ref178071587 \h  \* MERGEFORMAT </w:instrText>
      </w:r>
      <w:r>
        <w:rPr>
          <w:rFonts w:cs="Times New Roman"/>
        </w:rPr>
      </w:r>
      <w:r>
        <w:rPr>
          <w:rFonts w:cs="Times New Roman"/>
        </w:rPr>
        <w:fldChar w:fldCharType="separate"/>
      </w:r>
      <w:r w:rsidR="005B5BC3">
        <w:rPr>
          <w:rFonts w:cs="Times New Roman"/>
        </w:rPr>
        <w:t>90</w:t>
      </w:r>
      <w:r>
        <w:rPr>
          <w:rFonts w:cs="Times New Roman"/>
        </w:rPr>
        <w:fldChar w:fldCharType="end"/>
      </w:r>
      <w:r>
        <w:rPr>
          <w:rFonts w:cs="Times New Roman"/>
        </w:rPr>
        <w:t xml:space="preserve">, at 379 (estimating a 16% </w:t>
      </w:r>
      <w:r>
        <w:t xml:space="preserve">annualized factor risk premium for divested stocks); </w:t>
      </w:r>
      <w:r>
        <w:rPr>
          <w:rFonts w:cs="Times New Roman"/>
        </w:rPr>
        <w:t xml:space="preserve">Heinkel, Kraus &amp; Zechner, </w:t>
      </w:r>
      <w:r>
        <w:rPr>
          <w:rFonts w:cs="Times New Roman"/>
          <w:i/>
          <w:iCs/>
        </w:rPr>
        <w:t>supra</w:t>
      </w:r>
      <w:r>
        <w:rPr>
          <w:rFonts w:cs="Times New Roman"/>
        </w:rPr>
        <w:t xml:space="preserve"> note </w:t>
      </w:r>
      <w:r>
        <w:rPr>
          <w:rFonts w:cs="Times New Roman"/>
        </w:rPr>
        <w:fldChar w:fldCharType="begin"/>
      </w:r>
      <w:r>
        <w:rPr>
          <w:rFonts w:cs="Times New Roman"/>
        </w:rPr>
        <w:instrText xml:space="preserve"> NOTEREF _Ref178071587 \h  \* MERGEFORMAT </w:instrText>
      </w:r>
      <w:r>
        <w:rPr>
          <w:rFonts w:cs="Times New Roman"/>
        </w:rPr>
      </w:r>
      <w:r>
        <w:rPr>
          <w:rFonts w:cs="Times New Roman"/>
        </w:rPr>
        <w:fldChar w:fldCharType="separate"/>
      </w:r>
      <w:r w:rsidR="005B5BC3">
        <w:rPr>
          <w:rFonts w:cs="Times New Roman"/>
        </w:rPr>
        <w:t>90</w:t>
      </w:r>
      <w:r>
        <w:rPr>
          <w:rFonts w:cs="Times New Roman"/>
        </w:rPr>
        <w:fldChar w:fldCharType="end"/>
      </w:r>
      <w:r>
        <w:rPr>
          <w:rFonts w:cs="Times New Roman"/>
        </w:rPr>
        <w:t>, at 379 (under two different parameterizations, finding a difference of 5.6% and 13% in dirty firms’ cost of capital and clean firms’ cost of capital).</w:t>
      </w:r>
    </w:p>
  </w:footnote>
  <w:footnote w:id="110">
    <w:p w14:paraId="73C9B608" w14:textId="11D3C053" w:rsidR="006F1644" w:rsidRPr="00263B0F" w:rsidRDefault="006F1644" w:rsidP="00195BF1">
      <w:pPr>
        <w:pStyle w:val="FootnoteText"/>
        <w:rPr>
          <w:b/>
        </w:rPr>
      </w:pPr>
      <w:r w:rsidRPr="00263B0F">
        <w:rPr>
          <w:rStyle w:val="FootnoteReference"/>
        </w:rPr>
        <w:footnoteRef/>
      </w:r>
      <w:r w:rsidRPr="00263B0F">
        <w:t xml:space="preserve"> </w:t>
      </w:r>
      <w:r w:rsidRPr="00263B0F">
        <w:rPr>
          <w:i/>
          <w:iCs/>
        </w:rPr>
        <w:t>See</w:t>
      </w:r>
      <w:r w:rsidRPr="00263B0F">
        <w:t xml:space="preserve"> </w:t>
      </w:r>
      <w:r w:rsidRPr="009D1575">
        <w:rPr>
          <w:smallCaps/>
        </w:rPr>
        <w:t>Brealey, Myers &amp; Allen</w:t>
      </w:r>
      <w:r w:rsidRPr="00263B0F">
        <w:t xml:space="preserve">, </w:t>
      </w:r>
      <w:r w:rsidRPr="00263B0F">
        <w:rPr>
          <w:i/>
          <w:iCs/>
        </w:rPr>
        <w:t xml:space="preserve">supra </w:t>
      </w:r>
      <w:r w:rsidRPr="00263B0F">
        <w:t>note</w:t>
      </w:r>
      <w:r w:rsidR="00FA78FD">
        <w:t xml:space="preserve"> </w:t>
      </w:r>
      <w:r w:rsidR="00011130">
        <w:fldChar w:fldCharType="begin"/>
      </w:r>
      <w:r w:rsidR="00011130">
        <w:instrText xml:space="preserve"> NOTEREF _Ref180747100 \h </w:instrText>
      </w:r>
      <w:r w:rsidR="00011130">
        <w:fldChar w:fldCharType="separate"/>
      </w:r>
      <w:r w:rsidR="005B5BC3">
        <w:t>64</w:t>
      </w:r>
      <w:r w:rsidR="00011130">
        <w:fldChar w:fldCharType="end"/>
      </w:r>
      <w:r w:rsidRPr="00263B0F">
        <w:t xml:space="preserve">, at </w:t>
      </w:r>
      <w:r>
        <w:t>83</w:t>
      </w:r>
      <w:r w:rsidRPr="00263B0F">
        <w:t>.</w:t>
      </w:r>
    </w:p>
  </w:footnote>
  <w:footnote w:id="111">
    <w:p w14:paraId="77607A40" w14:textId="136C4C51" w:rsidR="006F1644" w:rsidRDefault="006F1644" w:rsidP="00975FEC">
      <w:pPr>
        <w:pStyle w:val="FootnoteText"/>
        <w:jc w:val="both"/>
        <w:rPr>
          <w:rFonts w:cs="Times New Roman"/>
        </w:rPr>
      </w:pPr>
      <w:r>
        <w:rPr>
          <w:rStyle w:val="FootnoteReference"/>
          <w:rFonts w:cs="Times New Roman"/>
        </w:rPr>
        <w:footnoteRef/>
      </w:r>
      <w:r>
        <w:rPr>
          <w:rFonts w:cs="Times New Roman"/>
        </w:rPr>
        <w:t xml:space="preserve"> Presumably, in the real world, there is not a light switch whereby a firm is either just clean or dirty. There are different degrees of dirtiness with more investors seeking to avoid holding the dirtier ones. Hence,relative to the discount rate for the clean firms, the discount rate penalty for the dirtier firms is bigger than for the less dirty ones. </w:t>
      </w:r>
    </w:p>
  </w:footnote>
  <w:footnote w:id="112">
    <w:p w14:paraId="4B3EDFB6" w14:textId="77777777" w:rsidR="006F1644" w:rsidRDefault="006F1644" w:rsidP="00975FEC">
      <w:pPr>
        <w:pStyle w:val="FootnoteText"/>
        <w:jc w:val="both"/>
        <w:rPr>
          <w:rFonts w:cs="Times New Roman"/>
        </w:rPr>
      </w:pPr>
      <w:r>
        <w:rPr>
          <w:rStyle w:val="FootnoteReference"/>
          <w:rFonts w:cs="Times New Roman"/>
        </w:rPr>
        <w:footnoteRef/>
      </w:r>
      <w:r>
        <w:rPr>
          <w:rFonts w:cs="Times New Roman"/>
        </w:rPr>
        <w:t xml:space="preserve"> </w:t>
      </w:r>
      <w:r>
        <w:rPr>
          <w:rFonts w:cs="Times New Roman"/>
          <w:i/>
          <w:iCs/>
        </w:rPr>
        <w:t>See, e.g.</w:t>
      </w:r>
      <w:r>
        <w:rPr>
          <w:rFonts w:cs="Times New Roman"/>
        </w:rPr>
        <w:t xml:space="preserve">, </w:t>
      </w:r>
      <w:r>
        <w:rPr>
          <w:rFonts w:cs="Times New Roman"/>
          <w:color w:val="000000"/>
        </w:rPr>
        <w:t xml:space="preserve">Paula Castro, Cristina Gutiérrez-López, María T. Tascón, Francisco J. Castaño, </w:t>
      </w:r>
      <w:r>
        <w:rPr>
          <w:rFonts w:cs="Times New Roman"/>
          <w:i/>
          <w:iCs/>
          <w:color w:val="000000"/>
        </w:rPr>
        <w:t>The Impact of Environmental Performance on Stock Prices in the Green and Innovative Context</w:t>
      </w:r>
      <w:r>
        <w:rPr>
          <w:rFonts w:cs="Times New Roman"/>
          <w:color w:val="000000"/>
        </w:rPr>
        <w:t xml:space="preserve">, 320 </w:t>
      </w:r>
      <w:r>
        <w:rPr>
          <w:rFonts w:cs="Times New Roman"/>
          <w:smallCaps/>
          <w:color w:val="000000"/>
        </w:rPr>
        <w:t>Journal of Cleaner</w:t>
      </w:r>
      <w:r>
        <w:rPr>
          <w:rFonts w:cs="Times New Roman"/>
          <w:color w:val="000000"/>
        </w:rPr>
        <w:t xml:space="preserve"> </w:t>
      </w:r>
      <w:r>
        <w:rPr>
          <w:rFonts w:cs="Times New Roman"/>
          <w:smallCaps/>
          <w:color w:val="000000"/>
        </w:rPr>
        <w:t xml:space="preserve">Production </w:t>
      </w:r>
      <w:r>
        <w:rPr>
          <w:rFonts w:cs="Times New Roman"/>
          <w:color w:val="000000"/>
        </w:rPr>
        <w:t xml:space="preserve">1 (2021). </w:t>
      </w:r>
    </w:p>
  </w:footnote>
  <w:footnote w:id="113">
    <w:p w14:paraId="18920A61" w14:textId="37D092A2" w:rsidR="006F1644" w:rsidRDefault="006F1644" w:rsidP="00573F40">
      <w:pPr>
        <w:pStyle w:val="FootnoteText"/>
      </w:pPr>
      <w:r>
        <w:rPr>
          <w:rStyle w:val="FootnoteReference"/>
        </w:rPr>
        <w:footnoteRef/>
      </w:r>
      <w:r>
        <w:t xml:space="preserve"> While </w:t>
      </w:r>
      <w:r w:rsidR="00060949">
        <w:t>some argue that</w:t>
      </w:r>
      <w:r>
        <w:t xml:space="preserve"> ESG funds do not actually offer investment exposure to ESG goals – i.e., are “greenwashing” – there are studies showing otherwise. </w:t>
      </w:r>
      <w:r w:rsidRPr="00000FA4">
        <w:rPr>
          <w:i/>
          <w:iCs/>
        </w:rPr>
        <w:t>See, e.g.</w:t>
      </w:r>
      <w:r>
        <w:t xml:space="preserve">, </w:t>
      </w:r>
      <w:r w:rsidRPr="00D21155">
        <w:t xml:space="preserve">Quinn Curtis, Jill Fisch &amp; Adriana Z. Robertson, </w:t>
      </w:r>
      <w:r w:rsidRPr="00000FA4">
        <w:rPr>
          <w:i/>
          <w:iCs/>
        </w:rPr>
        <w:t>Do ESG Funds Deliver on Their Promises?</w:t>
      </w:r>
      <w:r w:rsidRPr="00D21155">
        <w:t xml:space="preserve">, 120 </w:t>
      </w:r>
      <w:r w:rsidRPr="00000FA4">
        <w:rPr>
          <w:smallCaps/>
        </w:rPr>
        <w:t>Mich L. Rev.</w:t>
      </w:r>
      <w:r>
        <w:t xml:space="preserve"> </w:t>
      </w:r>
      <w:r w:rsidRPr="00D21155">
        <w:t>393 (2021).</w:t>
      </w:r>
      <w:r>
        <w:t xml:space="preserve">  </w:t>
      </w:r>
    </w:p>
  </w:footnote>
  <w:footnote w:id="114">
    <w:p w14:paraId="5FCBFCDB" w14:textId="45315AA2" w:rsidR="006F1644" w:rsidRPr="00856A34" w:rsidRDefault="006F1644">
      <w:pPr>
        <w:pStyle w:val="FootnoteText"/>
        <w:rPr>
          <w:rFonts w:cs="Times New Roman"/>
        </w:rPr>
      </w:pPr>
      <w:r>
        <w:rPr>
          <w:rStyle w:val="FootnoteReference"/>
        </w:rPr>
        <w:footnoteRef/>
      </w:r>
      <w:r>
        <w:t xml:space="preserve"> For an early and well-known argument in favor of mandatory social disclosure, see </w:t>
      </w:r>
      <w:r w:rsidRPr="002F0E76">
        <w:t>Cynthia A. Williams</w:t>
      </w:r>
      <w:r>
        <w:t xml:space="preserve">, </w:t>
      </w:r>
      <w:r w:rsidRPr="002F0E76">
        <w:rPr>
          <w:i/>
          <w:iCs/>
        </w:rPr>
        <w:t xml:space="preserve">The </w:t>
      </w:r>
      <w:r w:rsidRPr="00856A34">
        <w:rPr>
          <w:rFonts w:cs="Times New Roman"/>
          <w:i/>
          <w:iCs/>
        </w:rPr>
        <w:t>Securities Exchange Commission and Corporate Social Transparency</w:t>
      </w:r>
      <w:r w:rsidRPr="00856A34">
        <w:rPr>
          <w:rFonts w:cs="Times New Roman"/>
        </w:rPr>
        <w:t xml:space="preserve">, 112 </w:t>
      </w:r>
      <w:r w:rsidRPr="00856A34">
        <w:rPr>
          <w:rFonts w:cs="Times New Roman"/>
          <w:smallCaps/>
        </w:rPr>
        <w:t>Harv. L. Rev.</w:t>
      </w:r>
      <w:r w:rsidRPr="00856A34">
        <w:rPr>
          <w:rFonts w:cs="Times New Roman"/>
        </w:rPr>
        <w:t xml:space="preserve"> 1197 (1999).</w:t>
      </w:r>
    </w:p>
  </w:footnote>
  <w:footnote w:id="115">
    <w:p w14:paraId="0E7071E3" w14:textId="7AA669FE" w:rsidR="006F1644" w:rsidRPr="00285B31" w:rsidRDefault="006F1644" w:rsidP="006A40F1">
      <w:pPr>
        <w:rPr>
          <w:rFonts w:cs="Times New Roman"/>
        </w:rPr>
      </w:pPr>
      <w:r w:rsidRPr="00856A34">
        <w:rPr>
          <w:rStyle w:val="FootnoteReference"/>
          <w:rFonts w:ascii="Times New Roman" w:hAnsi="Times New Roman" w:cs="Times New Roman"/>
          <w:sz w:val="20"/>
          <w:szCs w:val="20"/>
        </w:rPr>
        <w:footnoteRef/>
      </w:r>
      <w:r w:rsidRPr="00856A34">
        <w:rPr>
          <w:rFonts w:ascii="Times New Roman" w:hAnsi="Times New Roman" w:cs="Times New Roman"/>
          <w:sz w:val="20"/>
          <w:szCs w:val="20"/>
        </w:rPr>
        <w:t xml:space="preserve"> For an opposing</w:t>
      </w:r>
      <w:r w:rsidRPr="006A40F1">
        <w:rPr>
          <w:rFonts w:ascii="Times New Roman" w:hAnsi="Times New Roman" w:cs="Times New Roman"/>
          <w:sz w:val="20"/>
          <w:szCs w:val="20"/>
        </w:rPr>
        <w:t xml:space="preserve"> point of view, </w:t>
      </w:r>
      <w:r>
        <w:rPr>
          <w:rFonts w:ascii="Times New Roman" w:hAnsi="Times New Roman" w:cs="Times New Roman"/>
          <w:sz w:val="20"/>
          <w:szCs w:val="20"/>
        </w:rPr>
        <w:t xml:space="preserve">based on the conclusion </w:t>
      </w:r>
      <w:r w:rsidRPr="006A40F1">
        <w:rPr>
          <w:rFonts w:ascii="Times New Roman" w:hAnsi="Times New Roman" w:cs="Times New Roman"/>
          <w:sz w:val="20"/>
          <w:szCs w:val="20"/>
        </w:rPr>
        <w:t xml:space="preserve">that </w:t>
      </w:r>
      <w:r>
        <w:rPr>
          <w:rFonts w:ascii="Times New Roman" w:hAnsi="Times New Roman" w:cs="Times New Roman"/>
          <w:sz w:val="20"/>
          <w:szCs w:val="20"/>
        </w:rPr>
        <w:t xml:space="preserve">the </w:t>
      </w:r>
      <w:r w:rsidRPr="006A40F1">
        <w:rPr>
          <w:rFonts w:ascii="Times New Roman" w:hAnsi="Times New Roman" w:cs="Times New Roman"/>
          <w:sz w:val="20"/>
          <w:szCs w:val="20"/>
        </w:rPr>
        <w:t xml:space="preserve">price effect from sorting is small, </w:t>
      </w:r>
      <w:r w:rsidRPr="007969CC">
        <w:rPr>
          <w:rFonts w:ascii="Times New Roman" w:hAnsi="Times New Roman" w:cs="Times New Roman"/>
          <w:i/>
          <w:sz w:val="20"/>
          <w:szCs w:val="20"/>
        </w:rPr>
        <w:t>see</w:t>
      </w:r>
      <w:r w:rsidRPr="007969CC">
        <w:rPr>
          <w:rFonts w:ascii="Times New Roman" w:eastAsia="TimesNewRomanPSMT" w:hAnsi="Times New Roman" w:cs="Times New Roman"/>
          <w:kern w:val="0"/>
          <w:sz w:val="20"/>
          <w:szCs w:val="20"/>
        </w:rPr>
        <w:t xml:space="preserve"> Eleonora Broccardo, Oliver Hart </w:t>
      </w:r>
      <w:r>
        <w:rPr>
          <w:rFonts w:ascii="Times New Roman" w:eastAsia="TimesNewRomanPSMT" w:hAnsi="Times New Roman" w:cs="Times New Roman"/>
          <w:kern w:val="0"/>
          <w:sz w:val="20"/>
          <w:szCs w:val="20"/>
        </w:rPr>
        <w:t xml:space="preserve">&amp; </w:t>
      </w:r>
      <w:r w:rsidRPr="007969CC">
        <w:rPr>
          <w:rFonts w:ascii="Times New Roman" w:eastAsia="TimesNewRomanPSMT" w:hAnsi="Times New Roman" w:cs="Times New Roman"/>
          <w:kern w:val="0"/>
          <w:sz w:val="20"/>
          <w:szCs w:val="20"/>
        </w:rPr>
        <w:t xml:space="preserve">Luigi Zingales, </w:t>
      </w:r>
      <w:r w:rsidRPr="00856A34">
        <w:rPr>
          <w:rFonts w:ascii="Times New Roman" w:eastAsia="TimesNewRomanPSMT" w:hAnsi="Times New Roman" w:cs="Times New Roman"/>
          <w:i/>
          <w:iCs/>
          <w:kern w:val="0"/>
          <w:sz w:val="20"/>
          <w:szCs w:val="20"/>
        </w:rPr>
        <w:t>Exit Versus Voice</w:t>
      </w:r>
      <w:r w:rsidRPr="007969CC">
        <w:rPr>
          <w:rFonts w:ascii="Times New Roman" w:eastAsia="TimesNewRomanPSMT" w:hAnsi="Times New Roman" w:cs="Times New Roman"/>
          <w:kern w:val="0"/>
          <w:sz w:val="20"/>
          <w:szCs w:val="20"/>
        </w:rPr>
        <w:t xml:space="preserve">, 130 </w:t>
      </w:r>
      <w:r w:rsidRPr="00856A34">
        <w:rPr>
          <w:rFonts w:ascii="Times New Roman" w:eastAsia="TimesNewRomanPSMT" w:hAnsi="Times New Roman" w:cs="Times New Roman"/>
          <w:smallCaps/>
          <w:kern w:val="0"/>
          <w:sz w:val="20"/>
          <w:szCs w:val="20"/>
        </w:rPr>
        <w:t>J. Pol. Econ.</w:t>
      </w:r>
      <w:r>
        <w:rPr>
          <w:rFonts w:ascii="Times New Roman" w:eastAsia="TimesNewRomanPSMT" w:hAnsi="Times New Roman" w:cs="Times New Roman"/>
          <w:kern w:val="0"/>
          <w:sz w:val="20"/>
          <w:szCs w:val="20"/>
        </w:rPr>
        <w:t xml:space="preserve"> 3</w:t>
      </w:r>
      <w:r w:rsidRPr="007969CC">
        <w:rPr>
          <w:rFonts w:ascii="Times New Roman" w:eastAsia="TimesNewRomanPSMT" w:hAnsi="Times New Roman" w:cs="Times New Roman"/>
          <w:sz w:val="20"/>
          <w:szCs w:val="20"/>
          <w:lang w:val="ja-JP"/>
        </w:rPr>
        <w:t>101, 3117-120 (2022)</w:t>
      </w:r>
      <w:r>
        <w:rPr>
          <w:rFonts w:ascii="Times New Roman" w:eastAsia="TimesNewRomanPSMT" w:hAnsi="Times New Roman" w:cs="Times New Roman"/>
          <w:sz w:val="20"/>
          <w:szCs w:val="20"/>
        </w:rPr>
        <w:t xml:space="preserve">. The article </w:t>
      </w:r>
      <w:r w:rsidRPr="006A40F1">
        <w:rPr>
          <w:rFonts w:ascii="Times New Roman" w:hAnsi="Times New Roman" w:cs="Times New Roman"/>
          <w:sz w:val="20"/>
          <w:szCs w:val="20"/>
        </w:rPr>
        <w:t xml:space="preserve">does not contend with the implementation costs of acting through a broadened franchise, </w:t>
      </w:r>
      <w:r>
        <w:rPr>
          <w:rFonts w:ascii="Times New Roman" w:hAnsi="Times New Roman" w:cs="Times New Roman"/>
          <w:sz w:val="20"/>
          <w:szCs w:val="20"/>
        </w:rPr>
        <w:t>howeve</w:t>
      </w:r>
      <w:r w:rsidR="00BD3871">
        <w:rPr>
          <w:rFonts w:ascii="Times New Roman" w:hAnsi="Times New Roman" w:cs="Times New Roman"/>
          <w:sz w:val="20"/>
          <w:szCs w:val="20"/>
        </w:rPr>
        <w:t>r.</w:t>
      </w:r>
    </w:p>
  </w:footnote>
  <w:footnote w:id="116">
    <w:p w14:paraId="2BA0B4E1" w14:textId="43E59372" w:rsidR="006F1644" w:rsidRDefault="006F1644">
      <w:pPr>
        <w:pStyle w:val="FootnoteText"/>
      </w:pPr>
      <w:r>
        <w:rPr>
          <w:rStyle w:val="FootnoteReference"/>
        </w:rPr>
        <w:footnoteRef/>
      </w:r>
      <w:r>
        <w:t xml:space="preserve"> As discussed in the Introduction, assessing the efficiency and equity implications of a third such kind of fundamental </w:t>
      </w:r>
      <w:r w:rsidRPr="00D168F3">
        <w:t>change</w:t>
      </w:r>
      <w:r>
        <w:t xml:space="preserve"> </w:t>
      </w:r>
      <w:bookmarkStart w:id="25" w:name="_Hlk180700808"/>
      <w:r>
        <w:t>–</w:t>
      </w:r>
      <w:bookmarkEnd w:id="25"/>
      <w:r>
        <w:t xml:space="preserve"> </w:t>
      </w:r>
      <w:r w:rsidRPr="00D168F3">
        <w:rPr>
          <w:rFonts w:cs="Times New Roman"/>
        </w:rPr>
        <w:t xml:space="preserve">adding </w:t>
      </w:r>
      <w:r>
        <w:rPr>
          <w:rFonts w:cs="Times New Roman"/>
        </w:rPr>
        <w:t xml:space="preserve">to the electorate for choosing directors </w:t>
      </w:r>
      <w:r w:rsidRPr="00D168F3">
        <w:rPr>
          <w:rFonts w:cs="Times New Roman"/>
        </w:rPr>
        <w:t xml:space="preserve">other corporate stakeholders beyond </w:t>
      </w:r>
      <w:r>
        <w:rPr>
          <w:rFonts w:cs="Times New Roman"/>
        </w:rPr>
        <w:t xml:space="preserve">the </w:t>
      </w:r>
      <w:r w:rsidRPr="00D168F3">
        <w:rPr>
          <w:rFonts w:cs="Times New Roman"/>
        </w:rPr>
        <w:t xml:space="preserve">shareholders </w:t>
      </w:r>
      <w:r>
        <w:t>–</w:t>
      </w:r>
      <w:r w:rsidRPr="00D168F3">
        <w:rPr>
          <w:rFonts w:cs="Times New Roman"/>
        </w:rPr>
        <w:t xml:space="preserve"> involves a whole other kind of analysis that is beyond the scope of this paper.</w:t>
      </w:r>
    </w:p>
  </w:footnote>
  <w:footnote w:id="117">
    <w:p w14:paraId="1A7A9B18" w14:textId="77777777" w:rsidR="006F1644" w:rsidRPr="000A1215" w:rsidRDefault="006F1644" w:rsidP="00856A34">
      <w:pPr>
        <w:pStyle w:val="FootnoteText"/>
        <w:jc w:val="both"/>
      </w:pPr>
      <w:r>
        <w:rPr>
          <w:rStyle w:val="FootnoteReference"/>
        </w:rPr>
        <w:footnoteRef/>
      </w:r>
      <w:r>
        <w:t xml:space="preserve"> The history of the corporate purpose debate has been well-documented in the literature. </w:t>
      </w:r>
      <w:r w:rsidRPr="00624515">
        <w:rPr>
          <w:i/>
          <w:iCs/>
        </w:rPr>
        <w:t>See, e.g.</w:t>
      </w:r>
      <w:r>
        <w:t xml:space="preserve">, Dorothy Lund &amp; Elizabeth Pollman, </w:t>
      </w:r>
      <w:r w:rsidRPr="00624515">
        <w:rPr>
          <w:i/>
          <w:iCs/>
        </w:rPr>
        <w:t>Corporate Purpose</w:t>
      </w:r>
      <w:r>
        <w:t xml:space="preserve">, in </w:t>
      </w:r>
      <w:r w:rsidRPr="00624515">
        <w:rPr>
          <w:smallCaps/>
        </w:rPr>
        <w:t xml:space="preserve">The Oxford Handbook of Corporate Law and Governance </w:t>
      </w:r>
      <w:r>
        <w:t xml:space="preserve">__ </w:t>
      </w:r>
      <w:r w:rsidRPr="000A1215">
        <w:t>(Jeffrey N. Gordon &amp; Wolf-Georg Ringe eds. 2024)</w:t>
      </w:r>
      <w:r>
        <w:t xml:space="preserve">; Stavros Gadinis &amp; Amelia Miazad, </w:t>
      </w:r>
      <w:r w:rsidRPr="00A4357F">
        <w:rPr>
          <w:i/>
          <w:iCs/>
        </w:rPr>
        <w:t>A Test of Stakeholder Capitalism</w:t>
      </w:r>
      <w:r>
        <w:t xml:space="preserve">, </w:t>
      </w:r>
      <w:r w:rsidRPr="00A4357F">
        <w:rPr>
          <w:smallCaps/>
        </w:rPr>
        <w:t>J. Corp. L</w:t>
      </w:r>
      <w:r>
        <w:t>. 47, 59-62 (2021).</w:t>
      </w:r>
      <w:r w:rsidRPr="000A1215">
        <w:t xml:space="preserve"> </w:t>
      </w:r>
    </w:p>
  </w:footnote>
  <w:footnote w:id="118">
    <w:p w14:paraId="6C9CAC20" w14:textId="4585661D" w:rsidR="006F1644" w:rsidRPr="000A1215" w:rsidRDefault="006F1644" w:rsidP="00856A34">
      <w:pPr>
        <w:pStyle w:val="FootnoteText"/>
      </w:pPr>
      <w:r w:rsidRPr="000A1215">
        <w:rPr>
          <w:rStyle w:val="FootnoteReference"/>
        </w:rPr>
        <w:footnoteRef/>
      </w:r>
      <w:r w:rsidRPr="000A1215">
        <w:t xml:space="preserve"> </w:t>
      </w:r>
      <w:r w:rsidRPr="00624515">
        <w:rPr>
          <w:i/>
          <w:iCs/>
        </w:rPr>
        <w:t xml:space="preserve">See </w:t>
      </w:r>
      <w:r w:rsidRPr="000A1215">
        <w:t xml:space="preserve">Lund &amp; Pollman, supra note </w:t>
      </w:r>
      <w:r w:rsidRPr="000A1215">
        <w:fldChar w:fldCharType="begin"/>
      </w:r>
      <w:r w:rsidRPr="000A1215">
        <w:instrText xml:space="preserve"> NOTEREF _Ref180142540 \h </w:instrText>
      </w:r>
      <w:r>
        <w:instrText xml:space="preserve"> \* MERGEFORMAT </w:instrText>
      </w:r>
      <w:r w:rsidRPr="000A1215">
        <w:fldChar w:fldCharType="separate"/>
      </w:r>
      <w:r w:rsidR="005B5BC3">
        <w:t>115</w:t>
      </w:r>
      <w:r w:rsidRPr="000A1215">
        <w:fldChar w:fldCharType="end"/>
      </w:r>
      <w:r w:rsidR="009F37DD">
        <w:t xml:space="preserve">. </w:t>
      </w:r>
      <w:r w:rsidRPr="00CF20FD">
        <w:rPr>
          <w:i/>
          <w:iCs/>
        </w:rPr>
        <w:t>See also</w:t>
      </w:r>
      <w:r>
        <w:t xml:space="preserve"> </w:t>
      </w:r>
      <w:r w:rsidRPr="00263B0F">
        <w:t xml:space="preserve">Henry Hansmann &amp; Reinier Kraakman, </w:t>
      </w:r>
      <w:r w:rsidRPr="00263B0F">
        <w:rPr>
          <w:i/>
          <w:iCs/>
        </w:rPr>
        <w:t>The End of History for Corporate Law</w:t>
      </w:r>
      <w:r w:rsidRPr="00263B0F">
        <w:t xml:space="preserve">, 89 </w:t>
      </w:r>
      <w:r w:rsidRPr="00263B0F">
        <w:rPr>
          <w:smallCaps/>
        </w:rPr>
        <w:t>Geo</w:t>
      </w:r>
      <w:r>
        <w:rPr>
          <w:smallCaps/>
        </w:rPr>
        <w:t>.</w:t>
      </w:r>
      <w:r w:rsidRPr="00263B0F">
        <w:rPr>
          <w:smallCaps/>
        </w:rPr>
        <w:t xml:space="preserve"> L.J.</w:t>
      </w:r>
      <w:r w:rsidRPr="00263B0F">
        <w:t xml:space="preserve"> 439, 439 (2001)</w:t>
      </w:r>
      <w:r>
        <w:t xml:space="preserve"> (“</w:t>
      </w:r>
      <w:r w:rsidRPr="003526AE">
        <w:t>There is no longer any serious competitor to the view that corporate law should principally strive to increase long-term shareholder value.</w:t>
      </w:r>
      <w:r>
        <w:t>”)</w:t>
      </w:r>
      <w:r w:rsidRPr="00263B0F">
        <w:t>.</w:t>
      </w:r>
    </w:p>
  </w:footnote>
  <w:footnote w:id="119">
    <w:p w14:paraId="5184419C" w14:textId="3028C0B4" w:rsidR="006F1644" w:rsidRDefault="006F1644" w:rsidP="00856A34">
      <w:pPr>
        <w:pStyle w:val="FootnoteText"/>
      </w:pPr>
      <w:r>
        <w:rPr>
          <w:rStyle w:val="FootnoteReference"/>
        </w:rPr>
        <w:footnoteRef/>
      </w:r>
      <w:r>
        <w:t xml:space="preserve"> It is perhaps for this reason that shareholder primacy is sometimes referred to as shareholder wealth maximization. </w:t>
      </w:r>
      <w:r w:rsidRPr="00D33925">
        <w:rPr>
          <w:i/>
          <w:iCs/>
        </w:rPr>
        <w:t>See, e.g.</w:t>
      </w:r>
      <w:r>
        <w:t xml:space="preserve">, Lynn M. LoPucki, </w:t>
      </w:r>
      <w:r w:rsidRPr="00D33925">
        <w:rPr>
          <w:i/>
          <w:iCs/>
        </w:rPr>
        <w:t>The End of Shareholder Wealth Maximization</w:t>
      </w:r>
      <w:r>
        <w:t xml:space="preserve">, 56 </w:t>
      </w:r>
      <w:r w:rsidRPr="00D33925">
        <w:rPr>
          <w:smallCaps/>
        </w:rPr>
        <w:t>U.C. Davis L. Rev. 2017</w:t>
      </w:r>
      <w:r>
        <w:t xml:space="preserve"> (2023).  Because shareholder primacy is based on the notion corporate activity should be directed at advancing the interests of the corporation’s shareholders, an alternative generalization of that theory of corporate purpose is that a corporation should endeavor to maximize </w:t>
      </w:r>
      <w:r w:rsidRPr="00624515">
        <w:rPr>
          <w:i/>
          <w:iCs/>
        </w:rPr>
        <w:t xml:space="preserve">the </w:t>
      </w:r>
      <w:r>
        <w:rPr>
          <w:i/>
          <w:iCs/>
        </w:rPr>
        <w:t xml:space="preserve">welfare or </w:t>
      </w:r>
      <w:r w:rsidRPr="00624515">
        <w:rPr>
          <w:i/>
          <w:iCs/>
        </w:rPr>
        <w:t>utility</w:t>
      </w:r>
      <w:r>
        <w:t xml:space="preserve"> of its shareholders. </w:t>
      </w:r>
      <w:r w:rsidRPr="00624515">
        <w:rPr>
          <w:i/>
          <w:iCs/>
        </w:rPr>
        <w:t>See</w:t>
      </w:r>
      <w:r>
        <w:rPr>
          <w:i/>
          <w:iCs/>
        </w:rPr>
        <w:t>, e.g.,</w:t>
      </w:r>
      <w:r>
        <w:t xml:space="preserve"> Hart &amp; Zingales, </w:t>
      </w:r>
      <w:r w:rsidRPr="00624515">
        <w:rPr>
          <w:i/>
          <w:iCs/>
        </w:rPr>
        <w:t>Shareholder Welfare</w:t>
      </w:r>
      <w:r>
        <w:t xml:space="preserve">, </w:t>
      </w:r>
      <w:r w:rsidRPr="00D771A0">
        <w:rPr>
          <w:i/>
          <w:iCs/>
        </w:rPr>
        <w:t>supra</w:t>
      </w:r>
      <w:r>
        <w:t xml:space="preserve"> </w:t>
      </w:r>
      <w:r w:rsidRPr="00624515">
        <w:rPr>
          <w:rFonts w:cs="Times New Roman"/>
          <w:iCs/>
        </w:rPr>
        <w:t xml:space="preserve">note </w:t>
      </w:r>
      <w:r w:rsidRPr="00624515">
        <w:rPr>
          <w:rFonts w:cs="Times New Roman"/>
          <w:iCs/>
        </w:rPr>
        <w:fldChar w:fldCharType="begin"/>
      </w:r>
      <w:r w:rsidRPr="00624515">
        <w:rPr>
          <w:rFonts w:cs="Times New Roman"/>
          <w:iCs/>
        </w:rPr>
        <w:instrText xml:space="preserve"> NOTEREF _Ref180496848 \h </w:instrText>
      </w:r>
      <w:r>
        <w:rPr>
          <w:rFonts w:cs="Times New Roman"/>
          <w:iCs/>
        </w:rPr>
        <w:instrText xml:space="preserve"> \* MERGEFORMAT </w:instrText>
      </w:r>
      <w:r w:rsidRPr="00624515">
        <w:rPr>
          <w:rFonts w:cs="Times New Roman"/>
          <w:iCs/>
        </w:rPr>
      </w:r>
      <w:r w:rsidRPr="00624515">
        <w:rPr>
          <w:rFonts w:cs="Times New Roman"/>
          <w:iCs/>
        </w:rPr>
        <w:fldChar w:fldCharType="separate"/>
      </w:r>
      <w:r w:rsidR="005B5BC3">
        <w:rPr>
          <w:rFonts w:cs="Times New Roman"/>
          <w:iCs/>
        </w:rPr>
        <w:t>42</w:t>
      </w:r>
      <w:r w:rsidRPr="00624515">
        <w:rPr>
          <w:rFonts w:cs="Times New Roman"/>
          <w:iCs/>
        </w:rPr>
        <w:fldChar w:fldCharType="end"/>
      </w:r>
      <w:r>
        <w:t xml:space="preserve">. As we noted earlier, however, Hart and Zingales </w:t>
      </w:r>
      <w:r w:rsidRPr="005E3083">
        <w:rPr>
          <w:rFonts w:cs="Times New Roman"/>
        </w:rPr>
        <w:t xml:space="preserve">do not provide any normative justification for this why it is an important policy goal to maximize the welfare of this particular class of persons as opposed to trying to maximize </w:t>
      </w:r>
      <w:r>
        <w:rPr>
          <w:rFonts w:cs="Times New Roman"/>
        </w:rPr>
        <w:t xml:space="preserve">the welfare of </w:t>
      </w:r>
      <w:r w:rsidRPr="005E3083">
        <w:rPr>
          <w:rFonts w:cs="Times New Roman"/>
        </w:rPr>
        <w:t>society as a whole</w:t>
      </w:r>
      <w:r>
        <w:rPr>
          <w:rFonts w:cs="Times New Roman"/>
        </w:rPr>
        <w:t>.</w:t>
      </w:r>
      <w:r>
        <w:t xml:space="preserve"> </w:t>
      </w:r>
      <w:r w:rsidRPr="00D771A0">
        <w:rPr>
          <w:i/>
          <w:iCs/>
        </w:rPr>
        <w:t xml:space="preserve">See </w:t>
      </w:r>
      <w:r>
        <w:rPr>
          <w:i/>
          <w:iCs/>
        </w:rPr>
        <w:t xml:space="preserve">supra </w:t>
      </w:r>
      <w:r w:rsidRPr="00624515">
        <w:rPr>
          <w:rFonts w:cs="Times New Roman"/>
          <w:iCs/>
        </w:rPr>
        <w:t>note</w:t>
      </w:r>
      <w:r>
        <w:rPr>
          <w:rFonts w:cs="Times New Roman"/>
          <w:iCs/>
        </w:rPr>
        <w:t xml:space="preserve"> </w:t>
      </w:r>
      <w:r>
        <w:rPr>
          <w:rFonts w:cs="Times New Roman"/>
          <w:iCs/>
        </w:rPr>
        <w:fldChar w:fldCharType="begin"/>
      </w:r>
      <w:r>
        <w:rPr>
          <w:rFonts w:cs="Times New Roman"/>
          <w:iCs/>
        </w:rPr>
        <w:instrText xml:space="preserve"> NOTEREF _Ref180496963 \h </w:instrText>
      </w:r>
      <w:r>
        <w:rPr>
          <w:rFonts w:cs="Times New Roman"/>
          <w:iCs/>
        </w:rPr>
      </w:r>
      <w:r>
        <w:rPr>
          <w:rFonts w:cs="Times New Roman"/>
          <w:iCs/>
        </w:rPr>
        <w:fldChar w:fldCharType="separate"/>
      </w:r>
      <w:r w:rsidR="005B5BC3">
        <w:rPr>
          <w:rFonts w:cs="Times New Roman"/>
          <w:iCs/>
        </w:rPr>
        <w:t>51</w:t>
      </w:r>
      <w:r>
        <w:rPr>
          <w:rFonts w:cs="Times New Roman"/>
          <w:iCs/>
        </w:rPr>
        <w:fldChar w:fldCharType="end"/>
      </w:r>
      <w:r>
        <w:rPr>
          <w:rFonts w:cs="Times New Roman"/>
          <w:iCs/>
        </w:rPr>
        <w:t xml:space="preserve"> and accompanying text.</w:t>
      </w:r>
    </w:p>
  </w:footnote>
  <w:footnote w:id="120">
    <w:p w14:paraId="3CCD551D" w14:textId="1D37A3A2" w:rsidR="006F1644" w:rsidRPr="008429E0" w:rsidRDefault="006F1644">
      <w:pPr>
        <w:pStyle w:val="FootnoteText"/>
        <w:rPr>
          <w:i/>
        </w:rPr>
      </w:pPr>
      <w:r>
        <w:rPr>
          <w:rStyle w:val="FootnoteReference"/>
        </w:rPr>
        <w:footnoteRef/>
      </w:r>
      <w:r>
        <w:t xml:space="preserve"> Part I.A </w:t>
      </w:r>
      <w:r>
        <w:rPr>
          <w:i/>
        </w:rPr>
        <w:t>supra.</w:t>
      </w:r>
    </w:p>
  </w:footnote>
  <w:footnote w:id="121">
    <w:p w14:paraId="7A102166" w14:textId="044296C7" w:rsidR="006F1644" w:rsidRDefault="006F1644" w:rsidP="00856A34">
      <w:pPr>
        <w:pStyle w:val="FootnoteText"/>
      </w:pPr>
      <w:r w:rsidRPr="000A1215">
        <w:rPr>
          <w:rStyle w:val="FootnoteReference"/>
        </w:rPr>
        <w:footnoteRef/>
      </w:r>
      <w:r w:rsidRPr="000A1215">
        <w:t xml:space="preserve"> </w:t>
      </w:r>
      <w:r w:rsidRPr="00624515">
        <w:rPr>
          <w:i/>
          <w:iCs/>
        </w:rPr>
        <w:t>See, e.g.</w:t>
      </w:r>
      <w:r>
        <w:t xml:space="preserve">, Lucian A. Bebchuk and Roberto Tallarita, </w:t>
      </w:r>
      <w:r w:rsidRPr="001C4502">
        <w:rPr>
          <w:i/>
          <w:iCs/>
        </w:rPr>
        <w:t>The Illusory Promise of Stakeholder Governance</w:t>
      </w:r>
      <w:r>
        <w:t xml:space="preserve">, 106 </w:t>
      </w:r>
      <w:r w:rsidRPr="001C4502">
        <w:rPr>
          <w:smallCaps/>
        </w:rPr>
        <w:t>Cornell L</w:t>
      </w:r>
      <w:r>
        <w:rPr>
          <w:smallCaps/>
        </w:rPr>
        <w:t>.</w:t>
      </w:r>
      <w:r w:rsidRPr="001C4502">
        <w:rPr>
          <w:smallCaps/>
        </w:rPr>
        <w:t xml:space="preserve"> Rev.</w:t>
      </w:r>
      <w:r>
        <w:t xml:space="preserve"> 91, 94 (2020).  A share value maximizing corporation can also be constrained by the concerns held by actual and potential managers, employees, and customers, any of whom may refuse to do business or do it only less favorable terms if the corporation engages in a behavior with impacts they disapprove of. </w:t>
      </w:r>
      <w:r>
        <w:rPr>
          <w:i/>
        </w:rPr>
        <w:t xml:space="preserve">See </w:t>
      </w:r>
      <w:r>
        <w:t xml:space="preserve">I.A </w:t>
      </w:r>
      <w:r>
        <w:rPr>
          <w:i/>
        </w:rPr>
        <w:t xml:space="preserve">supra. </w:t>
      </w:r>
      <w:r>
        <w:t xml:space="preserve"> </w:t>
      </w:r>
      <w:r w:rsidRPr="000A1215">
        <w:t>An obvious response</w:t>
      </w:r>
      <w:r>
        <w:t xml:space="preserve"> to this perspective is that corporations’ significant influence on the political and legislative process enables them to shape regulation in their own favor, thereby precluding effective curative regulation</w:t>
      </w:r>
      <w:r w:rsidRPr="001C4502">
        <w:rPr>
          <w:i/>
          <w:iCs/>
        </w:rPr>
        <w:t>. See</w:t>
      </w:r>
      <w:r>
        <w:rPr>
          <w:i/>
          <w:iCs/>
        </w:rPr>
        <w:t xml:space="preserve"> infra </w:t>
      </w:r>
      <w:r w:rsidRPr="00060949">
        <w:t xml:space="preserve">note </w:t>
      </w:r>
      <w:r w:rsidRPr="00F44B90">
        <w:fldChar w:fldCharType="begin"/>
      </w:r>
      <w:r w:rsidRPr="00060949">
        <w:instrText xml:space="preserve"> NOTEREF _Ref180700765 \h </w:instrText>
      </w:r>
      <w:r>
        <w:instrText xml:space="preserve"> \* MERGEFORMAT </w:instrText>
      </w:r>
      <w:r w:rsidRPr="00F44B90">
        <w:fldChar w:fldCharType="separate"/>
      </w:r>
      <w:r w:rsidR="005B5BC3">
        <w:t>123</w:t>
      </w:r>
      <w:r w:rsidRPr="00F44B90">
        <w:fldChar w:fldCharType="end"/>
      </w:r>
      <w:r>
        <w:t xml:space="preserve"> and associated text. </w:t>
      </w:r>
    </w:p>
  </w:footnote>
  <w:footnote w:id="122">
    <w:p w14:paraId="57DE41E9" w14:textId="34FE8720" w:rsidR="006F1644" w:rsidRPr="008C2E9D" w:rsidRDefault="006F1644" w:rsidP="00856A34">
      <w:pPr>
        <w:pStyle w:val="FootnoteText"/>
        <w:rPr>
          <w:iCs/>
        </w:rPr>
      </w:pPr>
      <w:r>
        <w:rPr>
          <w:rStyle w:val="FootnoteReference"/>
        </w:rPr>
        <w:footnoteRef/>
      </w:r>
      <w:r>
        <w:t xml:space="preserve"> For a classic statement of the position that income taxes and transfers are the best method for redistribution, </w:t>
      </w:r>
      <w:r>
        <w:rPr>
          <w:i/>
          <w:iCs/>
        </w:rPr>
        <w:t>see</w:t>
      </w:r>
      <w:r>
        <w:t xml:space="preserve"> Louis Kaplow &amp; Steven Shavell, </w:t>
      </w:r>
      <w:r>
        <w:rPr>
          <w:i/>
          <w:iCs/>
        </w:rPr>
        <w:t>Why the Legal System Is Less Efficient Than the Income Tax in Redistributing Income</w:t>
      </w:r>
      <w:r>
        <w:t xml:space="preserve">, 23 J. </w:t>
      </w:r>
      <w:r>
        <w:rPr>
          <w:smallCaps/>
        </w:rPr>
        <w:t xml:space="preserve">Legal Studies </w:t>
      </w:r>
      <w:r>
        <w:t xml:space="preserve">667 (1994).  Issues of efficiency and equity can overlap where a corporation has market power in either an input or output market.  The situation is complicated, however, by the fact that the prospect of greater than competitive prices can spur innovation. </w:t>
      </w:r>
      <w:r>
        <w:rPr>
          <w:i/>
        </w:rPr>
        <w:t xml:space="preserve">See </w:t>
      </w:r>
      <w:r>
        <w:t xml:space="preserve">note </w:t>
      </w:r>
      <w:r w:rsidR="008C2E9D">
        <w:rPr>
          <w:highlight w:val="yellow"/>
        </w:rPr>
        <w:fldChar w:fldCharType="begin"/>
      </w:r>
      <w:r w:rsidR="008C2E9D">
        <w:instrText xml:space="preserve"> NOTEREF _Ref180749054 \h </w:instrText>
      </w:r>
      <w:r w:rsidR="008C2E9D">
        <w:rPr>
          <w:highlight w:val="yellow"/>
        </w:rPr>
      </w:r>
      <w:r w:rsidR="008C2E9D">
        <w:rPr>
          <w:highlight w:val="yellow"/>
        </w:rPr>
        <w:fldChar w:fldCharType="separate"/>
      </w:r>
      <w:r w:rsidR="005B5BC3">
        <w:t>21</w:t>
      </w:r>
      <w:r w:rsidR="008C2E9D">
        <w:rPr>
          <w:highlight w:val="yellow"/>
        </w:rPr>
        <w:fldChar w:fldCharType="end"/>
      </w:r>
      <w:r>
        <w:t xml:space="preserve"> </w:t>
      </w:r>
      <w:r>
        <w:rPr>
          <w:i/>
        </w:rPr>
        <w:t>supra</w:t>
      </w:r>
      <w:r w:rsidR="008C2E9D">
        <w:rPr>
          <w:iCs/>
        </w:rPr>
        <w:t>.</w:t>
      </w:r>
    </w:p>
  </w:footnote>
  <w:footnote w:id="123">
    <w:p w14:paraId="268552E9" w14:textId="4DFE7199" w:rsidR="006F1644" w:rsidRPr="00081F64" w:rsidRDefault="006F1644" w:rsidP="00856A34">
      <w:pPr>
        <w:pStyle w:val="FootnoteText"/>
        <w:jc w:val="both"/>
      </w:pPr>
      <w:r>
        <w:rPr>
          <w:rStyle w:val="FootnoteReference"/>
        </w:rPr>
        <w:footnoteRef/>
      </w:r>
      <w:r>
        <w:t xml:space="preserve"> </w:t>
      </w:r>
      <w:r w:rsidRPr="008C0BB1">
        <w:rPr>
          <w:i/>
          <w:iCs/>
        </w:rPr>
        <w:t>See, e.g.</w:t>
      </w:r>
      <w:r>
        <w:t xml:space="preserve">, </w:t>
      </w:r>
      <w:r w:rsidRPr="00624515">
        <w:rPr>
          <w:smallCaps/>
        </w:rPr>
        <w:t>Colin Mayer</w:t>
      </w:r>
      <w:r>
        <w:t xml:space="preserve">, </w:t>
      </w:r>
      <w:r w:rsidRPr="00624515">
        <w:rPr>
          <w:smallCaps/>
        </w:rPr>
        <w:t>Prosperity: Better Business Makes the Better Good</w:t>
      </w:r>
      <w:r>
        <w:t xml:space="preserve"> (2018); </w:t>
      </w:r>
      <w:r w:rsidRPr="00624515">
        <w:rPr>
          <w:smallCaps/>
        </w:rPr>
        <w:t>Lynn Stout</w:t>
      </w:r>
      <w:r>
        <w:t xml:space="preserve">, </w:t>
      </w:r>
      <w:r w:rsidRPr="008C0BB1">
        <w:rPr>
          <w:smallCaps/>
        </w:rPr>
        <w:t>The Shareholder Value Myth</w:t>
      </w:r>
      <w:r>
        <w:t xml:space="preserve"> (2012); </w:t>
      </w:r>
      <w:r w:rsidRPr="00AD4E7F">
        <w:t>Elhauge,</w:t>
      </w:r>
      <w:r>
        <w:t xml:space="preserve"> </w:t>
      </w:r>
      <w:r w:rsidRPr="001720E6">
        <w:t xml:space="preserve">note </w:t>
      </w:r>
      <w:r w:rsidR="001720E6" w:rsidRPr="001720E6">
        <w:fldChar w:fldCharType="begin"/>
      </w:r>
      <w:r w:rsidR="001720E6" w:rsidRPr="001720E6">
        <w:instrText xml:space="preserve"> NOTEREF _Ref180747272 \h </w:instrText>
      </w:r>
      <w:r w:rsidR="001720E6">
        <w:instrText xml:space="preserve"> \* MERGEFORMAT </w:instrText>
      </w:r>
      <w:r w:rsidR="001720E6" w:rsidRPr="001720E6">
        <w:fldChar w:fldCharType="separate"/>
      </w:r>
      <w:r w:rsidR="005B5BC3">
        <w:t>39</w:t>
      </w:r>
      <w:r w:rsidR="001720E6" w:rsidRPr="001720E6">
        <w:fldChar w:fldCharType="end"/>
      </w:r>
      <w:r w:rsidR="001720E6">
        <w:t xml:space="preserve"> </w:t>
      </w:r>
      <w:r w:rsidRPr="001720E6">
        <w:rPr>
          <w:i/>
          <w:iCs/>
        </w:rPr>
        <w:t>supra</w:t>
      </w:r>
      <w:r>
        <w:t>,</w:t>
      </w:r>
      <w:r w:rsidRPr="00AD4E7F">
        <w:t xml:space="preserve"> Margaret M. Blair &amp; Lynn A. Stout, </w:t>
      </w:r>
      <w:r w:rsidRPr="008C0BB1">
        <w:rPr>
          <w:i/>
          <w:iCs/>
        </w:rPr>
        <w:t>A Team Production Theory of Corporate Law</w:t>
      </w:r>
      <w:r w:rsidRPr="00AD4E7F">
        <w:t xml:space="preserve">, 85 </w:t>
      </w:r>
      <w:r w:rsidRPr="001D039A">
        <w:rPr>
          <w:smallCaps/>
        </w:rPr>
        <w:t>Va. L. Rev.</w:t>
      </w:r>
      <w:r w:rsidRPr="00AD4E7F">
        <w:t xml:space="preserve"> 247 (1999)</w:t>
      </w:r>
      <w:r>
        <w:t xml:space="preserve">. </w:t>
      </w:r>
      <w:r w:rsidRPr="00624515">
        <w:rPr>
          <w:i/>
          <w:iCs/>
        </w:rPr>
        <w:t>See also</w:t>
      </w:r>
      <w:r>
        <w:t xml:space="preserve"> Martin Lipton, </w:t>
      </w:r>
      <w:r w:rsidRPr="00624515">
        <w:rPr>
          <w:i/>
          <w:iCs/>
        </w:rPr>
        <w:t>Stakeholder Governance and the Eclipse of Shareholder Primacy</w:t>
      </w:r>
      <w:r>
        <w:t xml:space="preserve">, </w:t>
      </w:r>
    </w:p>
    <w:p w14:paraId="63CA6904" w14:textId="63E282C6" w:rsidR="006F1644" w:rsidRDefault="006F1644" w:rsidP="00856A34">
      <w:pPr>
        <w:pStyle w:val="FootnoteText"/>
        <w:jc w:val="both"/>
      </w:pPr>
      <w:r w:rsidRPr="00A40BC9">
        <w:rPr>
          <w:i/>
          <w:iCs/>
        </w:rPr>
        <w:t>Harvard Law School Forum on Corporate Governance</w:t>
      </w:r>
      <w:r>
        <w:t xml:space="preserve"> (2022), </w:t>
      </w:r>
      <w:r w:rsidRPr="00F44B90">
        <w:t>https://corpgov.law.harvard.edu/2024/05/07/stakeholder-governance-and-the-eclipse-of-shareholder-primacy/</w:t>
      </w:r>
      <w:r>
        <w:t>; Leo E. Strine, Jr</w:t>
      </w:r>
      <w:r w:rsidRPr="001D039A">
        <w:t xml:space="preserve">., </w:t>
      </w:r>
      <w:r w:rsidRPr="00624515">
        <w:rPr>
          <w:i/>
          <w:iCs/>
        </w:rPr>
        <w:t>Restoration: The Role Stakeholder Governance Must Play in Recreating a Fair and Sustainable American Economy: A Reply to Professor Rock</w:t>
      </w:r>
      <w:r>
        <w:t xml:space="preserve">, </w:t>
      </w:r>
      <w:r w:rsidRPr="00624515">
        <w:rPr>
          <w:smallCaps/>
        </w:rPr>
        <w:t>Bus. Lawyer</w:t>
      </w:r>
      <w:r>
        <w:t xml:space="preserve"> (2021), </w:t>
      </w:r>
      <w:r>
        <w:rPr>
          <w:rFonts w:cs="Times New Roman"/>
        </w:rPr>
        <w:t xml:space="preserve">Another strand of the literature takes direct aim at the assumptions and implications of shareholder primary, rather than advocating for stakeholderism per se. </w:t>
      </w:r>
      <w:r w:rsidRPr="00624515">
        <w:rPr>
          <w:rFonts w:cs="Times New Roman"/>
          <w:i/>
          <w:iCs/>
        </w:rPr>
        <w:t>See, e.g.</w:t>
      </w:r>
      <w:r>
        <w:rPr>
          <w:rFonts w:cs="Times New Roman"/>
        </w:rPr>
        <w:t xml:space="preserve">, Frank Partnoy, </w:t>
      </w:r>
      <w:r w:rsidRPr="00624515">
        <w:rPr>
          <w:rFonts w:cs="Times New Roman"/>
          <w:i/>
          <w:iCs/>
        </w:rPr>
        <w:t>Shareholder Primacy is Illogical</w:t>
      </w:r>
      <w:r>
        <w:rPr>
          <w:rFonts w:cs="Times New Roman"/>
        </w:rPr>
        <w:t xml:space="preserve">, </w:t>
      </w:r>
      <w:r>
        <w:t xml:space="preserve">in </w:t>
      </w:r>
      <w:r w:rsidRPr="008C0BB1">
        <w:rPr>
          <w:smallCaps/>
        </w:rPr>
        <w:t>Research Handbook on Corporate Purpose and Personhood</w:t>
      </w:r>
      <w:r>
        <w:t xml:space="preserve"> 186 (E. Pollman &amp; Robert B. Thompson, eds. 2021).</w:t>
      </w:r>
      <w:r>
        <w:rPr>
          <w:rFonts w:cs="Times New Roman"/>
        </w:rPr>
        <w:t xml:space="preserve">  For additional critiques of shareholder primacy, see </w:t>
      </w:r>
      <w:r>
        <w:t xml:space="preserve">Lynn A Stout, </w:t>
      </w:r>
      <w:r w:rsidRPr="00624515">
        <w:rPr>
          <w:i/>
          <w:iCs/>
        </w:rPr>
        <w:t>Bad and Not-so-Bad Arguments for Shareholder Primacy</w:t>
      </w:r>
      <w:r>
        <w:t xml:space="preserve">, 75 </w:t>
      </w:r>
      <w:r w:rsidRPr="00624515">
        <w:rPr>
          <w:smallCaps/>
        </w:rPr>
        <w:t>Cornell L. Rev.</w:t>
      </w:r>
      <w:r>
        <w:t xml:space="preserve"> 1189 (2002). </w:t>
      </w:r>
    </w:p>
  </w:footnote>
  <w:footnote w:id="124">
    <w:p w14:paraId="672BBD61" w14:textId="77777777" w:rsidR="006F1644" w:rsidRDefault="006F1644" w:rsidP="00856A34">
      <w:pPr>
        <w:pStyle w:val="FootnoteText"/>
      </w:pPr>
      <w:r>
        <w:rPr>
          <w:rStyle w:val="FootnoteReference"/>
        </w:rPr>
        <w:footnoteRef/>
      </w:r>
      <w:r>
        <w:t xml:space="preserve"> Neither the literature nor popular commentary are uniform in their use of the term “stakeholderism.” </w:t>
      </w:r>
      <w:r w:rsidRPr="00624515">
        <w:rPr>
          <w:i/>
          <w:iCs/>
        </w:rPr>
        <w:t>See</w:t>
      </w:r>
      <w:r w:rsidRPr="00FE056C">
        <w:t xml:space="preserve"> </w:t>
      </w:r>
      <w:r>
        <w:t xml:space="preserve">Lisa Fairfax, </w:t>
      </w:r>
      <w:r w:rsidRPr="00624515">
        <w:rPr>
          <w:i/>
          <w:iCs/>
        </w:rPr>
        <w:t>Stakeholderism,</w:t>
      </w:r>
      <w:r w:rsidRPr="00921344">
        <w:t xml:space="preserve"> </w:t>
      </w:r>
      <w:r w:rsidRPr="006C20E8">
        <w:rPr>
          <w:i/>
          <w:iCs/>
        </w:rPr>
        <w:t>Corporate Purpose, and Credible Commitment</w:t>
      </w:r>
      <w:r>
        <w:t xml:space="preserve">, 108 </w:t>
      </w:r>
      <w:r w:rsidRPr="006C20E8">
        <w:rPr>
          <w:smallCaps/>
        </w:rPr>
        <w:t xml:space="preserve">Va. L. Rev. </w:t>
      </w:r>
      <w:r>
        <w:t>1163, 1191 (2022) (“</w:t>
      </w:r>
      <w:r w:rsidRPr="00FE056C">
        <w:t>As an initial matter, the multitude of labels by which stakeholderism has been referred (ranging from stakeholder capitalism to Corporate Social Responsibility (“CSR”), Environmental, Social, and Governance (“ESG”), and sustainability) underscores a certain lack of clarity related to the theory’s meaning and contours</w:t>
      </w:r>
      <w:r>
        <w:t xml:space="preserve">.”). </w:t>
      </w:r>
    </w:p>
  </w:footnote>
  <w:footnote w:id="125">
    <w:p w14:paraId="140D26E8" w14:textId="77AE1E62" w:rsidR="006F1644" w:rsidRDefault="006F1644" w:rsidP="00856A34">
      <w:pPr>
        <w:pStyle w:val="FootnoteText"/>
      </w:pPr>
      <w:r>
        <w:rPr>
          <w:rStyle w:val="FootnoteReference"/>
        </w:rPr>
        <w:footnoteRef/>
      </w:r>
      <w:r w:rsidRPr="001C4502">
        <w:rPr>
          <w:i/>
          <w:iCs/>
        </w:rPr>
        <w:t xml:space="preserve"> See, e.g.</w:t>
      </w:r>
      <w:r>
        <w:t xml:space="preserve">, Jill Fisch, </w:t>
      </w:r>
      <w:r w:rsidRPr="001C4502">
        <w:rPr>
          <w:i/>
          <w:iCs/>
        </w:rPr>
        <w:t>The “Bad Man” Goes to Washington: The Effect of Political Influence on Corporate Duty</w:t>
      </w:r>
      <w:r>
        <w:t xml:space="preserve">, </w:t>
      </w:r>
      <w:r w:rsidRPr="003B2BC6">
        <w:t xml:space="preserve">75 </w:t>
      </w:r>
      <w:r w:rsidRPr="00624515">
        <w:rPr>
          <w:smallCaps/>
        </w:rPr>
        <w:t>Fordham L. Rev.</w:t>
      </w:r>
      <w:r w:rsidRPr="003B2BC6">
        <w:t xml:space="preserve"> 1593</w:t>
      </w:r>
      <w:r>
        <w:t>, 1604-608</w:t>
      </w:r>
      <w:r w:rsidRPr="003B2BC6">
        <w:t xml:space="preserve"> (2006</w:t>
      </w:r>
      <w:r>
        <w:t xml:space="preserve">) (describing how corporations </w:t>
      </w:r>
      <w:r w:rsidRPr="003B2BC6">
        <w:t xml:space="preserve">actively participate in and affect the creation of the law to which </w:t>
      </w:r>
      <w:r>
        <w:t>they are</w:t>
      </w:r>
      <w:r w:rsidRPr="003B2BC6">
        <w:t xml:space="preserve"> subject</w:t>
      </w:r>
      <w:r>
        <w:t>)</w:t>
      </w:r>
      <w:r w:rsidRPr="003B2BC6">
        <w:t>.</w:t>
      </w:r>
      <w:r>
        <w:t xml:space="preserve"> Indeed, it is this very political influence itself that has caused some scholars to champion a alternative ends approach to corporate purpose. </w:t>
      </w:r>
      <w:r w:rsidRPr="001C4502">
        <w:rPr>
          <w:i/>
          <w:iCs/>
        </w:rPr>
        <w:t>See</w:t>
      </w:r>
      <w:r>
        <w:rPr>
          <w:i/>
          <w:iCs/>
        </w:rPr>
        <w:t>, e.g.</w:t>
      </w:r>
      <w:r>
        <w:t>,</w:t>
      </w:r>
      <w:r w:rsidRPr="001C4502">
        <w:rPr>
          <w:i/>
          <w:iCs/>
        </w:rPr>
        <w:t xml:space="preserve"> </w:t>
      </w:r>
      <w:r>
        <w:t xml:space="preserve">David G. Yosifson, </w:t>
      </w:r>
      <w:r w:rsidRPr="001C4502">
        <w:rPr>
          <w:i/>
          <w:iCs/>
        </w:rPr>
        <w:t>The Public Choice Problem in Corporate Law: Corporate Social Responsibility after Citizens United</w:t>
      </w:r>
      <w:r>
        <w:t xml:space="preserve">, 89 </w:t>
      </w:r>
      <w:r w:rsidRPr="001C4502">
        <w:rPr>
          <w:smallCaps/>
        </w:rPr>
        <w:t>N.C. Law Rev.</w:t>
      </w:r>
      <w:r>
        <w:t xml:space="preserve"> 1197 (2011).</w:t>
      </w:r>
    </w:p>
  </w:footnote>
  <w:footnote w:id="126">
    <w:p w14:paraId="579A3EA3" w14:textId="7E731E00" w:rsidR="006F1644" w:rsidRDefault="006F1644" w:rsidP="00856A34">
      <w:pPr>
        <w:pStyle w:val="FootnoteText"/>
      </w:pPr>
      <w:r>
        <w:rPr>
          <w:rStyle w:val="FootnoteReference"/>
        </w:rPr>
        <w:footnoteRef/>
      </w:r>
      <w:r>
        <w:t xml:space="preserve"> </w:t>
      </w:r>
      <w:r w:rsidRPr="006C20E8">
        <w:rPr>
          <w:i/>
          <w:iCs/>
        </w:rPr>
        <w:t>See</w:t>
      </w:r>
      <w:r>
        <w:t xml:space="preserve"> Business Roundtable, </w:t>
      </w:r>
      <w:r w:rsidRPr="006C20E8">
        <w:rPr>
          <w:i/>
          <w:iCs/>
        </w:rPr>
        <w:t>Business Roundtable Redefines the Purpose of a Corporation to Promote “An Economy that Serves All Americans</w:t>
      </w:r>
      <w:r w:rsidRPr="00B0047D">
        <w:t>,</w:t>
      </w:r>
      <w:r w:rsidRPr="006C20E8">
        <w:rPr>
          <w:i/>
          <w:iCs/>
        </w:rPr>
        <w:t>”</w:t>
      </w:r>
      <w:r>
        <w:t xml:space="preserve"> (2019), </w:t>
      </w:r>
      <w:r w:rsidRPr="009A2D59">
        <w:t>https://www.businessroundtable.org/business-roundtable-redefines-the-purpose-of-a-corporation-to-promote-an-economy-that-serves-all-americans</w:t>
      </w:r>
      <w:r>
        <w:t xml:space="preserve"> (stating that the 181 signatories to the statement, “</w:t>
      </w:r>
      <w:r w:rsidRPr="005E45A1">
        <w:t>commit to lead their companies for the benefit of all stakeholders — customers, employees, suppliers, communities and shareholders</w:t>
      </w:r>
      <w:r>
        <w:t>”). Two years later, the Business Roundtable appeared to backpedal, explaining that its 2019 statement “</w:t>
      </w:r>
      <w:r w:rsidRPr="005235EF">
        <w:t>is not a repudiation of shareholder interests in favor of political and social goals</w:t>
      </w:r>
      <w:r>
        <w:t>” and instead</w:t>
      </w:r>
      <w:r w:rsidRPr="005235EF">
        <w:t xml:space="preserve"> </w:t>
      </w:r>
      <w:r>
        <w:t>“</w:t>
      </w:r>
      <w:r w:rsidRPr="005235EF">
        <w:t>reflects the fact that for corporations to be successful, durable and return value to shareholders, they must consider the interests and meet the fair expectations of a wide range of stakeholders in addition to shareholders.</w:t>
      </w:r>
      <w:r>
        <w:t xml:space="preserve">” </w:t>
      </w:r>
      <w:r w:rsidRPr="001C4502">
        <w:rPr>
          <w:i/>
          <w:iCs/>
        </w:rPr>
        <w:t>See</w:t>
      </w:r>
      <w:r>
        <w:t xml:space="preserve"> Business Roundtable, </w:t>
      </w:r>
      <w:r w:rsidRPr="001C4502">
        <w:rPr>
          <w:i/>
          <w:iCs/>
        </w:rPr>
        <w:t>Business Roundtable Statement on the Purpose of a Corporation, Two Year Anniversary</w:t>
      </w:r>
      <w:r>
        <w:rPr>
          <w:i/>
          <w:iCs/>
        </w:rPr>
        <w:t xml:space="preserve"> </w:t>
      </w:r>
      <w:r>
        <w:t xml:space="preserve">(2021), </w:t>
      </w:r>
      <w:r w:rsidRPr="00F44B90">
        <w:t>https://opportunity.businessroundtable.org/purposeanniversary</w:t>
      </w:r>
      <w:r>
        <w:t xml:space="preserve">. </w:t>
      </w:r>
    </w:p>
  </w:footnote>
  <w:footnote w:id="127">
    <w:p w14:paraId="68495E0C" w14:textId="46036E56" w:rsidR="006F1644" w:rsidRDefault="006F1644" w:rsidP="00434565">
      <w:pPr>
        <w:pStyle w:val="FootnoteText"/>
      </w:pPr>
      <w:r>
        <w:rPr>
          <w:rStyle w:val="FootnoteReference"/>
        </w:rPr>
        <w:footnoteRef/>
      </w:r>
      <w:r>
        <w:t xml:space="preserve"> Bebchuk &amp; Tallarita, </w:t>
      </w:r>
      <w:r w:rsidRPr="006C20E8">
        <w:rPr>
          <w:i/>
          <w:iCs/>
        </w:rPr>
        <w:t xml:space="preserve">supra </w:t>
      </w:r>
      <w:r>
        <w:t>note</w:t>
      </w:r>
      <w:r w:rsidR="001720E6">
        <w:t xml:space="preserve"> </w:t>
      </w:r>
      <w:r w:rsidR="001720E6">
        <w:fldChar w:fldCharType="begin"/>
      </w:r>
      <w:r w:rsidR="001720E6">
        <w:instrText xml:space="preserve"> NOTEREF _Ref180747379 \h </w:instrText>
      </w:r>
      <w:r w:rsidR="001720E6">
        <w:fldChar w:fldCharType="separate"/>
      </w:r>
      <w:r w:rsidR="005B5BC3">
        <w:t>119</w:t>
      </w:r>
      <w:r w:rsidR="001720E6">
        <w:fldChar w:fldCharType="end"/>
      </w:r>
      <w:r>
        <w:t xml:space="preserve">. Fairfax, </w:t>
      </w:r>
      <w:r w:rsidRPr="007C5F78">
        <w:rPr>
          <w:i/>
          <w:iCs/>
        </w:rPr>
        <w:t xml:space="preserve">supra </w:t>
      </w:r>
      <w:r>
        <w:t xml:space="preserve">note </w:t>
      </w:r>
      <w:r>
        <w:fldChar w:fldCharType="begin"/>
      </w:r>
      <w:r>
        <w:instrText xml:space="preserve"> NOTEREF _Ref180273956 \h </w:instrText>
      </w:r>
      <w:r>
        <w:fldChar w:fldCharType="separate"/>
      </w:r>
      <w:r w:rsidR="005B5BC3">
        <w:t>122</w:t>
      </w:r>
      <w:r>
        <w:fldChar w:fldCharType="end"/>
      </w:r>
      <w:r>
        <w:t xml:space="preserve">, appears to be the only other analysis of the adoption question in the literature. In that article, Fairfax applies the theory of credible commitment to analyze whether there are significant obstacles to achieving stakeholderism. </w:t>
      </w:r>
      <w:r w:rsidRPr="00624515">
        <w:rPr>
          <w:i/>
          <w:iCs/>
        </w:rPr>
        <w:t xml:space="preserve">See id. </w:t>
      </w:r>
      <w:r>
        <w:t xml:space="preserve">A few other articles consider adoption issue but their focus is on other issues in the corporate purpose debate. </w:t>
      </w:r>
      <w:r w:rsidRPr="00624515">
        <w:rPr>
          <w:i/>
          <w:iCs/>
        </w:rPr>
        <w:t>See, e.g.</w:t>
      </w:r>
      <w:r>
        <w:t xml:space="preserve">, Dorothy S. Lund, </w:t>
      </w:r>
      <w:r w:rsidRPr="00624515">
        <w:rPr>
          <w:i/>
          <w:iCs/>
        </w:rPr>
        <w:t>Corporate Finance for Social Good</w:t>
      </w:r>
      <w:r>
        <w:t xml:space="preserve">, 121 </w:t>
      </w:r>
      <w:r w:rsidRPr="00E856E3">
        <w:rPr>
          <w:smallCaps/>
        </w:rPr>
        <w:t xml:space="preserve">Colum. L. Rev. </w:t>
      </w:r>
      <w:r>
        <w:t xml:space="preserve">1617, 1619-21 (2021); Edward B. Rock, </w:t>
      </w:r>
      <w:r w:rsidRPr="00624515">
        <w:rPr>
          <w:i/>
          <w:iCs/>
        </w:rPr>
        <w:t>For Whom is the Corporation Managed in 2020?</w:t>
      </w:r>
      <w:r>
        <w:t xml:space="preserve">, </w:t>
      </w:r>
      <w:r w:rsidRPr="007C5F78">
        <w:rPr>
          <w:i/>
          <w:iCs/>
        </w:rPr>
        <w:t>The Debate Over Corporate Purpose</w:t>
      </w:r>
      <w:r>
        <w:t xml:space="preserve">, 76 </w:t>
      </w:r>
      <w:r w:rsidRPr="007C5F78">
        <w:rPr>
          <w:smallCaps/>
        </w:rPr>
        <w:t xml:space="preserve">Bus. Law. </w:t>
      </w:r>
      <w:r>
        <w:t xml:space="preserve">363, 394 (2021); Ann M. Lipton, </w:t>
      </w:r>
      <w:r w:rsidRPr="00624515">
        <w:rPr>
          <w:i/>
          <w:iCs/>
        </w:rPr>
        <w:t>Not Everything Is About Investors: The Case for Mandatory Stakeholder Disclosure</w:t>
      </w:r>
      <w:r>
        <w:t xml:space="preserve">, 37 </w:t>
      </w:r>
      <w:r w:rsidRPr="00624515">
        <w:rPr>
          <w:smallCaps/>
        </w:rPr>
        <w:t>Yale J. on Reg.</w:t>
      </w:r>
      <w:r>
        <w:t xml:space="preserve"> 499, 504-505 (2020).    </w:t>
      </w:r>
    </w:p>
  </w:footnote>
  <w:footnote w:id="128">
    <w:p w14:paraId="61A9F1A9" w14:textId="71AF84D2" w:rsidR="006F1644" w:rsidRPr="00624515" w:rsidRDefault="006F1644" w:rsidP="00434565">
      <w:pPr>
        <w:pStyle w:val="FootnoteText"/>
        <w:rPr>
          <w:rFonts w:cs="Times New Roman"/>
          <w:color w:val="00172E"/>
          <w:shd w:val="clear" w:color="auto" w:fill="FFFFFF"/>
        </w:rPr>
      </w:pPr>
      <w:r w:rsidRPr="004F6AFE">
        <w:rPr>
          <w:rStyle w:val="FootnoteReference"/>
          <w:rFonts w:cs="Times New Roman"/>
        </w:rPr>
        <w:footnoteRef/>
      </w:r>
      <w:r w:rsidRPr="004F6AFE">
        <w:rPr>
          <w:rFonts w:cs="Times New Roman"/>
        </w:rPr>
        <w:t xml:space="preserve"> </w:t>
      </w:r>
      <w:r w:rsidRPr="00624515">
        <w:rPr>
          <w:rFonts w:cs="Times New Roman"/>
          <w:i/>
          <w:iCs/>
        </w:rPr>
        <w:t>See</w:t>
      </w:r>
      <w:r w:rsidRPr="004F6AFE">
        <w:rPr>
          <w:rFonts w:cs="Times New Roman"/>
        </w:rPr>
        <w:t xml:space="preserve"> Bebchuk &amp; Tallarita, </w:t>
      </w:r>
      <w:r w:rsidRPr="004F6AFE">
        <w:rPr>
          <w:rFonts w:cs="Times New Roman"/>
          <w:i/>
          <w:iCs/>
        </w:rPr>
        <w:t xml:space="preserve">supra </w:t>
      </w:r>
      <w:r w:rsidRPr="004F6AFE">
        <w:rPr>
          <w:rFonts w:cs="Times New Roman"/>
        </w:rPr>
        <w:t>note</w:t>
      </w:r>
      <w:r w:rsidR="001720E6">
        <w:rPr>
          <w:rFonts w:cs="Times New Roman"/>
        </w:rPr>
        <w:t xml:space="preserve"> </w:t>
      </w:r>
      <w:r w:rsidR="001720E6">
        <w:fldChar w:fldCharType="begin"/>
      </w:r>
      <w:r w:rsidR="001720E6">
        <w:instrText xml:space="preserve"> NOTEREF _Ref180747379 \h </w:instrText>
      </w:r>
      <w:r w:rsidR="001720E6">
        <w:fldChar w:fldCharType="separate"/>
      </w:r>
      <w:r w:rsidR="005B5BC3">
        <w:t>119</w:t>
      </w:r>
      <w:r w:rsidR="001720E6">
        <w:fldChar w:fldCharType="end"/>
      </w:r>
      <w:r w:rsidRPr="004F6AFE">
        <w:rPr>
          <w:rFonts w:cs="Times New Roman"/>
        </w:rPr>
        <w:t xml:space="preserve">, at 139. </w:t>
      </w:r>
      <w:r w:rsidRPr="00624515">
        <w:rPr>
          <w:rFonts w:cs="Times New Roman"/>
          <w:color w:val="00172E"/>
          <w:shd w:val="clear" w:color="auto" w:fill="FFFFFF"/>
        </w:rPr>
        <w:t> </w:t>
      </w:r>
      <w:r>
        <w:rPr>
          <w:rFonts w:cs="Times New Roman"/>
          <w:color w:val="00172E"/>
          <w:shd w:val="clear" w:color="auto" w:fill="FFFFFF"/>
        </w:rPr>
        <w:t xml:space="preserve">Others have expressed a similar perspective. </w:t>
      </w:r>
      <w:r w:rsidRPr="00624515">
        <w:rPr>
          <w:rFonts w:cs="Times New Roman"/>
          <w:i/>
          <w:iCs/>
          <w:color w:val="00172E"/>
          <w:shd w:val="clear" w:color="auto" w:fill="FFFFFF"/>
        </w:rPr>
        <w:t>See</w:t>
      </w:r>
      <w:r>
        <w:rPr>
          <w:rFonts w:cs="Times New Roman"/>
          <w:i/>
          <w:iCs/>
          <w:color w:val="00172E"/>
          <w:shd w:val="clear" w:color="auto" w:fill="FFFFFF"/>
        </w:rPr>
        <w:t>, e.g.,</w:t>
      </w:r>
      <w:r w:rsidRPr="00624515">
        <w:rPr>
          <w:rFonts w:cs="Times New Roman"/>
          <w:i/>
          <w:iCs/>
          <w:color w:val="00172E"/>
          <w:shd w:val="clear" w:color="auto" w:fill="FFFFFF"/>
        </w:rPr>
        <w:t xml:space="preserve"> </w:t>
      </w:r>
      <w:r w:rsidRPr="00624515">
        <w:rPr>
          <w:rFonts w:cs="Times New Roman"/>
          <w:color w:val="00172E"/>
          <w:shd w:val="clear" w:color="auto" w:fill="FFFFFF"/>
        </w:rPr>
        <w:t xml:space="preserve">Lund, </w:t>
      </w:r>
      <w:r w:rsidRPr="00624515">
        <w:rPr>
          <w:rFonts w:cs="Times New Roman"/>
          <w:i/>
          <w:iCs/>
          <w:color w:val="00172E"/>
          <w:shd w:val="clear" w:color="auto" w:fill="FFFFFF"/>
        </w:rPr>
        <w:t>supra</w:t>
      </w:r>
      <w:r w:rsidRPr="00624515">
        <w:rPr>
          <w:rFonts w:cs="Times New Roman"/>
          <w:color w:val="00172E"/>
          <w:shd w:val="clear" w:color="auto" w:fill="FFFFFF"/>
        </w:rPr>
        <w:t xml:space="preserve"> note</w:t>
      </w:r>
      <w:r w:rsidR="001720E6">
        <w:rPr>
          <w:rFonts w:cs="Times New Roman"/>
          <w:color w:val="00172E"/>
          <w:shd w:val="clear" w:color="auto" w:fill="FFFFFF"/>
        </w:rPr>
        <w:t xml:space="preserve"> </w:t>
      </w:r>
      <w:r w:rsidR="001720E6">
        <w:rPr>
          <w:rFonts w:cs="Times New Roman"/>
          <w:color w:val="00172E"/>
          <w:shd w:val="clear" w:color="auto" w:fill="FFFFFF"/>
        </w:rPr>
        <w:fldChar w:fldCharType="begin"/>
      </w:r>
      <w:r w:rsidR="001720E6">
        <w:rPr>
          <w:rFonts w:cs="Times New Roman"/>
          <w:color w:val="00172E"/>
          <w:shd w:val="clear" w:color="auto" w:fill="FFFFFF"/>
        </w:rPr>
        <w:instrText xml:space="preserve"> NOTEREF _Ref180747413 \h </w:instrText>
      </w:r>
      <w:r w:rsidR="001720E6">
        <w:rPr>
          <w:rFonts w:cs="Times New Roman"/>
          <w:color w:val="00172E"/>
          <w:shd w:val="clear" w:color="auto" w:fill="FFFFFF"/>
        </w:rPr>
      </w:r>
      <w:r w:rsidR="001720E6">
        <w:rPr>
          <w:rFonts w:cs="Times New Roman"/>
          <w:color w:val="00172E"/>
          <w:shd w:val="clear" w:color="auto" w:fill="FFFFFF"/>
        </w:rPr>
        <w:fldChar w:fldCharType="separate"/>
      </w:r>
      <w:r w:rsidR="005B5BC3">
        <w:rPr>
          <w:rFonts w:cs="Times New Roman"/>
          <w:color w:val="00172E"/>
          <w:shd w:val="clear" w:color="auto" w:fill="FFFFFF"/>
        </w:rPr>
        <w:t>125</w:t>
      </w:r>
      <w:r w:rsidR="001720E6">
        <w:rPr>
          <w:rFonts w:cs="Times New Roman"/>
          <w:color w:val="00172E"/>
          <w:shd w:val="clear" w:color="auto" w:fill="FFFFFF"/>
        </w:rPr>
        <w:fldChar w:fldCharType="end"/>
      </w:r>
      <w:r>
        <w:rPr>
          <w:rFonts w:cs="Times New Roman"/>
          <w:color w:val="00172E"/>
          <w:shd w:val="clear" w:color="auto" w:fill="FFFFFF"/>
        </w:rPr>
        <w:t xml:space="preserve">, at 1620-21; </w:t>
      </w:r>
      <w:r w:rsidRPr="00833542">
        <w:rPr>
          <w:rFonts w:cs="Times New Roman"/>
        </w:rPr>
        <w:t xml:space="preserve">Rock, </w:t>
      </w:r>
      <w:r w:rsidRPr="00624515">
        <w:rPr>
          <w:rFonts w:cs="Times New Roman"/>
          <w:i/>
          <w:iCs/>
        </w:rPr>
        <w:t>supra</w:t>
      </w:r>
      <w:r w:rsidRPr="00833542">
        <w:rPr>
          <w:rFonts w:cs="Times New Roman"/>
        </w:rPr>
        <w:t xml:space="preserve"> </w:t>
      </w:r>
      <w:r w:rsidR="001720E6" w:rsidRPr="00624515">
        <w:rPr>
          <w:rFonts w:cs="Times New Roman"/>
          <w:color w:val="00172E"/>
          <w:shd w:val="clear" w:color="auto" w:fill="FFFFFF"/>
        </w:rPr>
        <w:t>note</w:t>
      </w:r>
      <w:r w:rsidR="001720E6">
        <w:rPr>
          <w:rFonts w:cs="Times New Roman"/>
          <w:color w:val="00172E"/>
          <w:shd w:val="clear" w:color="auto" w:fill="FFFFFF"/>
        </w:rPr>
        <w:t xml:space="preserve"> </w:t>
      </w:r>
      <w:r w:rsidR="001720E6">
        <w:rPr>
          <w:rFonts w:cs="Times New Roman"/>
          <w:color w:val="00172E"/>
          <w:shd w:val="clear" w:color="auto" w:fill="FFFFFF"/>
        </w:rPr>
        <w:fldChar w:fldCharType="begin"/>
      </w:r>
      <w:r w:rsidR="001720E6">
        <w:rPr>
          <w:rFonts w:cs="Times New Roman"/>
          <w:color w:val="00172E"/>
          <w:shd w:val="clear" w:color="auto" w:fill="FFFFFF"/>
        </w:rPr>
        <w:instrText xml:space="preserve"> NOTEREF _Ref180747413 \h </w:instrText>
      </w:r>
      <w:r w:rsidR="001720E6">
        <w:rPr>
          <w:rFonts w:cs="Times New Roman"/>
          <w:color w:val="00172E"/>
          <w:shd w:val="clear" w:color="auto" w:fill="FFFFFF"/>
        </w:rPr>
      </w:r>
      <w:r w:rsidR="001720E6">
        <w:rPr>
          <w:rFonts w:cs="Times New Roman"/>
          <w:color w:val="00172E"/>
          <w:shd w:val="clear" w:color="auto" w:fill="FFFFFF"/>
        </w:rPr>
        <w:fldChar w:fldCharType="separate"/>
      </w:r>
      <w:r w:rsidR="005B5BC3">
        <w:rPr>
          <w:rFonts w:cs="Times New Roman"/>
          <w:color w:val="00172E"/>
          <w:shd w:val="clear" w:color="auto" w:fill="FFFFFF"/>
        </w:rPr>
        <w:t>125</w:t>
      </w:r>
      <w:r w:rsidR="001720E6">
        <w:rPr>
          <w:rFonts w:cs="Times New Roman"/>
          <w:color w:val="00172E"/>
          <w:shd w:val="clear" w:color="auto" w:fill="FFFFFF"/>
        </w:rPr>
        <w:fldChar w:fldCharType="end"/>
      </w:r>
      <w:r w:rsidRPr="00624515">
        <w:rPr>
          <w:rFonts w:cs="Times New Roman"/>
          <w:color w:val="00172E"/>
          <w:shd w:val="clear" w:color="auto" w:fill="FFFFFF"/>
        </w:rPr>
        <w:t>, at 394</w:t>
      </w:r>
      <w:r>
        <w:rPr>
          <w:rFonts w:cs="Times New Roman"/>
          <w:color w:val="00172E"/>
          <w:shd w:val="clear" w:color="auto" w:fill="FFFFFF"/>
        </w:rPr>
        <w:t xml:space="preserve">; Lipton, </w:t>
      </w:r>
      <w:r w:rsidRPr="00D33925">
        <w:rPr>
          <w:rFonts w:cs="Times New Roman"/>
          <w:i/>
          <w:iCs/>
        </w:rPr>
        <w:t>supra</w:t>
      </w:r>
      <w:r w:rsidRPr="00833542">
        <w:rPr>
          <w:rFonts w:cs="Times New Roman"/>
        </w:rPr>
        <w:t xml:space="preserve"> </w:t>
      </w:r>
      <w:r w:rsidR="001720E6" w:rsidRPr="00624515">
        <w:rPr>
          <w:rFonts w:cs="Times New Roman"/>
          <w:color w:val="00172E"/>
          <w:shd w:val="clear" w:color="auto" w:fill="FFFFFF"/>
        </w:rPr>
        <w:t>note</w:t>
      </w:r>
      <w:r w:rsidR="001720E6">
        <w:rPr>
          <w:rFonts w:cs="Times New Roman"/>
          <w:color w:val="00172E"/>
          <w:shd w:val="clear" w:color="auto" w:fill="FFFFFF"/>
        </w:rPr>
        <w:t xml:space="preserve"> </w:t>
      </w:r>
      <w:r w:rsidR="001720E6">
        <w:rPr>
          <w:rFonts w:cs="Times New Roman"/>
          <w:color w:val="00172E"/>
          <w:shd w:val="clear" w:color="auto" w:fill="FFFFFF"/>
        </w:rPr>
        <w:fldChar w:fldCharType="begin"/>
      </w:r>
      <w:r w:rsidR="001720E6">
        <w:rPr>
          <w:rFonts w:cs="Times New Roman"/>
          <w:color w:val="00172E"/>
          <w:shd w:val="clear" w:color="auto" w:fill="FFFFFF"/>
        </w:rPr>
        <w:instrText xml:space="preserve"> NOTEREF _Ref180747413 \h </w:instrText>
      </w:r>
      <w:r w:rsidR="001720E6">
        <w:rPr>
          <w:rFonts w:cs="Times New Roman"/>
          <w:color w:val="00172E"/>
          <w:shd w:val="clear" w:color="auto" w:fill="FFFFFF"/>
        </w:rPr>
      </w:r>
      <w:r w:rsidR="001720E6">
        <w:rPr>
          <w:rFonts w:cs="Times New Roman"/>
          <w:color w:val="00172E"/>
          <w:shd w:val="clear" w:color="auto" w:fill="FFFFFF"/>
        </w:rPr>
        <w:fldChar w:fldCharType="separate"/>
      </w:r>
      <w:r w:rsidR="005B5BC3">
        <w:rPr>
          <w:rFonts w:cs="Times New Roman"/>
          <w:color w:val="00172E"/>
          <w:shd w:val="clear" w:color="auto" w:fill="FFFFFF"/>
        </w:rPr>
        <w:t>125</w:t>
      </w:r>
      <w:r w:rsidR="001720E6">
        <w:rPr>
          <w:rFonts w:cs="Times New Roman"/>
          <w:color w:val="00172E"/>
          <w:shd w:val="clear" w:color="auto" w:fill="FFFFFF"/>
        </w:rPr>
        <w:fldChar w:fldCharType="end"/>
      </w:r>
      <w:r w:rsidRPr="00D33925">
        <w:rPr>
          <w:rFonts w:cs="Times New Roman"/>
          <w:color w:val="00172E"/>
          <w:shd w:val="clear" w:color="auto" w:fill="FFFFFF"/>
        </w:rPr>
        <w:t xml:space="preserve">, </w:t>
      </w:r>
      <w:r>
        <w:rPr>
          <w:rFonts w:cs="Times New Roman"/>
          <w:color w:val="00172E"/>
          <w:shd w:val="clear" w:color="auto" w:fill="FFFFFF"/>
        </w:rPr>
        <w:t>at 505.</w:t>
      </w:r>
      <w:r w:rsidRPr="00624515">
        <w:rPr>
          <w:rFonts w:cs="Times New Roman"/>
          <w:color w:val="00172E"/>
          <w:shd w:val="clear" w:color="auto" w:fill="FFFFFF"/>
        </w:rPr>
        <w:t xml:space="preserve"> </w:t>
      </w:r>
    </w:p>
    <w:p w14:paraId="4FA8D189" w14:textId="77777777" w:rsidR="006F1644" w:rsidRDefault="006F1644" w:rsidP="00434565">
      <w:pPr>
        <w:pStyle w:val="FootnoteText"/>
      </w:pPr>
      <w:r>
        <w:rPr>
          <w:rFonts w:ascii="Lato" w:hAnsi="Lato"/>
          <w:color w:val="00172E"/>
          <w:sz w:val="27"/>
          <w:szCs w:val="27"/>
          <w:shd w:val="clear" w:color="auto" w:fill="FFFFFF"/>
        </w:rPr>
        <w:t xml:space="preserve"> </w:t>
      </w:r>
    </w:p>
  </w:footnote>
  <w:footnote w:id="129">
    <w:p w14:paraId="1A7B5940" w14:textId="355D607A" w:rsidR="006F1644" w:rsidRDefault="006F1644" w:rsidP="00434565">
      <w:pPr>
        <w:pStyle w:val="FootnoteText"/>
      </w:pPr>
      <w:r>
        <w:rPr>
          <w:rStyle w:val="FootnoteReference"/>
        </w:rPr>
        <w:footnoteRef/>
      </w:r>
      <w:r>
        <w:t xml:space="preserve"> While the clean firms would also be maintaining a shareholder primacy perspective, this would not concern the socially concerned investors because the clean firms are not polluting. </w:t>
      </w:r>
    </w:p>
  </w:footnote>
  <w:footnote w:id="130">
    <w:p w14:paraId="5361E16F" w14:textId="65FE1F3E" w:rsidR="006F1644" w:rsidRPr="001B4861" w:rsidRDefault="006F1644" w:rsidP="001B4861">
      <w:pPr>
        <w:pStyle w:val="FootnoteText"/>
      </w:pPr>
      <w:r>
        <w:rPr>
          <w:rStyle w:val="FootnoteReference"/>
        </w:rPr>
        <w:footnoteRef/>
      </w:r>
      <w:r>
        <w:t xml:space="preserve"> Under a shareholder primacy perspective, a firm would advance stakeholder interests so long as that would also advance shareholder interests, but a stakeholder perspective values stakeholder interests for their own sake. One open question is the extent to which firm managers readily undertake conduct that in the first instance advances stakeholder interests but also would ultimately benefit the firm’s shareholders, including because it would </w:t>
      </w:r>
      <w:r w:rsidRPr="00046868">
        <w:t>increase long-term shareholder value</w:t>
      </w:r>
      <w:r>
        <w:t xml:space="preserve">. The notion of “enlightened shareholder value” or “ESV” concerns the circumstance where agency costs cause firm managers to not undertake conduct that would benefit stakeholders and, in the process, also would benefit shareholders. </w:t>
      </w:r>
      <w:r w:rsidRPr="00624515">
        <w:rPr>
          <w:i/>
          <w:iCs/>
        </w:rPr>
        <w:t xml:space="preserve">See </w:t>
      </w:r>
      <w:r>
        <w:t xml:space="preserve">Michael C. Jensen, Value Maximization, Stakeholder Theory, and the Corporate Objective Function, 12 </w:t>
      </w:r>
      <w:r w:rsidRPr="00202706">
        <w:rPr>
          <w:smallCaps/>
        </w:rPr>
        <w:t>Bus. Ethics Quarterly</w:t>
      </w:r>
      <w:r>
        <w:t xml:space="preserve"> 235, 245-46 (2002). </w:t>
      </w:r>
      <w:r w:rsidRPr="00202706">
        <w:rPr>
          <w:i/>
          <w:iCs/>
        </w:rPr>
        <w:t>See also</w:t>
      </w:r>
      <w:r>
        <w:t xml:space="preserve"> Virginia E. Harper Ho, </w:t>
      </w:r>
      <w:r w:rsidRPr="0069257D">
        <w:rPr>
          <w:i/>
          <w:iCs/>
        </w:rPr>
        <w:t>“Enlightened Shareholder Value”: Corporate Governance Beyond the Shareholder-Stakeholder Divide</w:t>
      </w:r>
      <w:r>
        <w:t>, 36</w:t>
      </w:r>
      <w:r w:rsidRPr="0069257D">
        <w:rPr>
          <w:smallCaps/>
        </w:rPr>
        <w:t xml:space="preserve"> J. Corp. L. </w:t>
      </w:r>
      <w:r>
        <w:t xml:space="preserve">59 (2009); </w:t>
      </w:r>
      <w:r w:rsidRPr="005E3083">
        <w:rPr>
          <w:rFonts w:cs="Times New Roman"/>
        </w:rPr>
        <w:t>Bartlett</w:t>
      </w:r>
      <w:r>
        <w:rPr>
          <w:rFonts w:cs="Times New Roman"/>
        </w:rPr>
        <w:t xml:space="preserve"> &amp; Bubb</w:t>
      </w:r>
      <w:r w:rsidRPr="005E3083">
        <w:rPr>
          <w:rFonts w:cs="Times New Roman"/>
        </w:rPr>
        <w:t xml:space="preserve">, </w:t>
      </w:r>
      <w:r w:rsidRPr="005E3083">
        <w:rPr>
          <w:rFonts w:cs="Times New Roman"/>
          <w:i/>
          <w:iCs/>
        </w:rPr>
        <w:t>supra</w:t>
      </w:r>
      <w:r w:rsidRPr="005E3083">
        <w:rPr>
          <w:rFonts w:cs="Times New Roman"/>
        </w:rPr>
        <w:t xml:space="preserve"> note</w:t>
      </w:r>
      <w:r>
        <w:rPr>
          <w:rFonts w:cs="Times New Roman"/>
        </w:rPr>
        <w:t xml:space="preserve"> </w:t>
      </w:r>
      <w:r>
        <w:rPr>
          <w:rFonts w:cs="Times New Roman"/>
        </w:rPr>
        <w:fldChar w:fldCharType="begin"/>
      </w:r>
      <w:r>
        <w:rPr>
          <w:rFonts w:cs="Times New Roman"/>
        </w:rPr>
        <w:instrText xml:space="preserve"> NOTEREF _Ref178624775 \h </w:instrText>
      </w:r>
      <w:r>
        <w:rPr>
          <w:rFonts w:cs="Times New Roman"/>
        </w:rPr>
      </w:r>
      <w:r>
        <w:rPr>
          <w:rFonts w:cs="Times New Roman"/>
        </w:rPr>
        <w:fldChar w:fldCharType="separate"/>
      </w:r>
      <w:r w:rsidR="005B5BC3">
        <w:rPr>
          <w:rFonts w:cs="Times New Roman"/>
        </w:rPr>
        <w:t>37</w:t>
      </w:r>
      <w:r>
        <w:rPr>
          <w:rFonts w:cs="Times New Roman"/>
        </w:rPr>
        <w:fldChar w:fldCharType="end"/>
      </w:r>
      <w:r w:rsidRPr="005E3083">
        <w:rPr>
          <w:rFonts w:cs="Times New Roman"/>
        </w:rPr>
        <w:t xml:space="preserve">, at </w:t>
      </w:r>
      <w:r>
        <w:rPr>
          <w:rFonts w:cs="Times New Roman"/>
        </w:rPr>
        <w:t xml:space="preserve">429-31; Dorothy S. Lund, </w:t>
      </w:r>
      <w:r w:rsidRPr="00624515">
        <w:rPr>
          <w:rFonts w:cs="Times New Roman"/>
          <w:i/>
          <w:iCs/>
        </w:rPr>
        <w:t>Enlightened Shareholder Value, Stakeholderism, and the Quest for Managerial Accountability</w:t>
      </w:r>
      <w:r>
        <w:rPr>
          <w:rFonts w:cs="Times New Roman"/>
        </w:rPr>
        <w:t xml:space="preserve">, </w:t>
      </w:r>
      <w:r>
        <w:t xml:space="preserve">in </w:t>
      </w:r>
      <w:r w:rsidRPr="008C0BB1">
        <w:rPr>
          <w:smallCaps/>
        </w:rPr>
        <w:t>Research Handbook on Corporate Purpose and Personhood</w:t>
      </w:r>
      <w:r>
        <w:t xml:space="preserve"> 91 (E. Pollman &amp; Robert B. Thompson, eds. 2021).  </w:t>
      </w:r>
      <w:r>
        <w:rPr>
          <w:rFonts w:cs="Times New Roman"/>
        </w:rPr>
        <w:t xml:space="preserve"> </w:t>
      </w:r>
    </w:p>
  </w:footnote>
  <w:footnote w:id="131">
    <w:p w14:paraId="6D124094" w14:textId="33444CEA" w:rsidR="006F1644" w:rsidRDefault="006F1644" w:rsidP="00856A34">
      <w:pPr>
        <w:pStyle w:val="FootnoteText"/>
      </w:pPr>
      <w:r>
        <w:rPr>
          <w:rStyle w:val="FootnoteReference"/>
        </w:rPr>
        <w:footnoteRef/>
      </w:r>
      <w:r>
        <w:t xml:space="preserve"> </w:t>
      </w:r>
      <w:r w:rsidRPr="000A3E89">
        <w:rPr>
          <w:i/>
          <w:iCs/>
        </w:rPr>
        <w:t>See, e.g.</w:t>
      </w:r>
      <w:r>
        <w:t xml:space="preserve">, Bebchuk and Tallarita, </w:t>
      </w:r>
      <w:r w:rsidR="00974DAB" w:rsidRPr="006C20E8">
        <w:rPr>
          <w:i/>
          <w:iCs/>
        </w:rPr>
        <w:t xml:space="preserve">supra </w:t>
      </w:r>
      <w:r w:rsidR="00974DAB">
        <w:t xml:space="preserve">note </w:t>
      </w:r>
      <w:r w:rsidR="00974DAB">
        <w:fldChar w:fldCharType="begin"/>
      </w:r>
      <w:r w:rsidR="00974DAB">
        <w:instrText xml:space="preserve"> NOTEREF _Ref180747379 \h </w:instrText>
      </w:r>
      <w:r w:rsidR="00974DAB">
        <w:fldChar w:fldCharType="separate"/>
      </w:r>
      <w:r w:rsidR="005B5BC3">
        <w:t>119</w:t>
      </w:r>
      <w:r w:rsidR="00974DAB">
        <w:fldChar w:fldCharType="end"/>
      </w:r>
      <w:r>
        <w:t>, at 119 (“</w:t>
      </w:r>
      <w:r w:rsidRPr="008B7490">
        <w:t>Stakeholderists have largely avoided offering answers to these questions</w:t>
      </w:r>
      <w:r>
        <w:t xml:space="preserve"> [regarding the specific stakeholder groups whose interests should be taken into account], </w:t>
      </w:r>
      <w:r w:rsidRPr="008B7490">
        <w:t>or even a methodology for reaching such answers. Instead, supporters of pluralistic stakeholderism have largely dealt with these questions by assigning them to corporate leaders to resolve at their discretion</w:t>
      </w:r>
      <w:r>
        <w:t xml:space="preserve">”); Fairfax, </w:t>
      </w:r>
      <w:r w:rsidRPr="007C5F78">
        <w:rPr>
          <w:i/>
          <w:iCs/>
        </w:rPr>
        <w:t xml:space="preserve">supra </w:t>
      </w:r>
      <w:r>
        <w:t xml:space="preserve">note </w:t>
      </w:r>
      <w:r>
        <w:fldChar w:fldCharType="begin"/>
      </w:r>
      <w:r>
        <w:instrText xml:space="preserve"> NOTEREF _Ref180273956 \h </w:instrText>
      </w:r>
      <w:r>
        <w:fldChar w:fldCharType="separate"/>
      </w:r>
      <w:r w:rsidR="005B5BC3">
        <w:t>122</w:t>
      </w:r>
      <w:r>
        <w:fldChar w:fldCharType="end"/>
      </w:r>
      <w:r>
        <w:t xml:space="preserve">, 1191 (2022) (“There </w:t>
      </w:r>
      <w:r w:rsidRPr="00921344">
        <w:t xml:space="preserve">is </w:t>
      </w:r>
      <w:r>
        <w:t xml:space="preserve">. . . </w:t>
      </w:r>
      <w:r w:rsidRPr="00921344">
        <w:t>a decided lack of clarity with respect to the concerns and groups whose interests are to be pursued under</w:t>
      </w:r>
      <w:r>
        <w:t xml:space="preserve"> </w:t>
      </w:r>
      <w:r w:rsidRPr="00921344">
        <w:t>stakeholderism</w:t>
      </w:r>
      <w:r>
        <w:t>”)</w:t>
      </w:r>
      <w:r w:rsidR="0069257D">
        <w:t>.</w:t>
      </w:r>
    </w:p>
  </w:footnote>
  <w:footnote w:id="132">
    <w:p w14:paraId="70446520" w14:textId="56E9EDA0" w:rsidR="006F1644" w:rsidRDefault="006F1644" w:rsidP="00856A34">
      <w:pPr>
        <w:pStyle w:val="FootnoteText"/>
      </w:pPr>
      <w:r>
        <w:rPr>
          <w:rStyle w:val="FootnoteReference"/>
        </w:rPr>
        <w:footnoteRef/>
      </w:r>
      <w:r>
        <w:t xml:space="preserve"> Stakeholder theorists envision directors as mediating stakeholder interests but do not provide a clearly implementable decision rule. </w:t>
      </w:r>
      <w:r w:rsidRPr="00624515">
        <w:rPr>
          <w:i/>
          <w:iCs/>
        </w:rPr>
        <w:t>See, e.g.</w:t>
      </w:r>
      <w:r>
        <w:t xml:space="preserve">, Blair &amp; Stout, </w:t>
      </w:r>
      <w:r w:rsidRPr="000A3E89">
        <w:rPr>
          <w:i/>
          <w:iCs/>
        </w:rPr>
        <w:t>supra</w:t>
      </w:r>
      <w:r>
        <w:t xml:space="preserve"> note</w:t>
      </w:r>
      <w:r w:rsidR="00974DAB">
        <w:t xml:space="preserve"> </w:t>
      </w:r>
      <w:r w:rsidR="00974DAB">
        <w:fldChar w:fldCharType="begin"/>
      </w:r>
      <w:r w:rsidR="00974DAB">
        <w:instrText xml:space="preserve"> NOTEREF _Ref180747715 \h </w:instrText>
      </w:r>
      <w:r w:rsidR="00974DAB">
        <w:fldChar w:fldCharType="separate"/>
      </w:r>
      <w:r w:rsidR="005B5BC3">
        <w:t>121</w:t>
      </w:r>
      <w:r w:rsidR="00974DAB">
        <w:fldChar w:fldCharType="end"/>
      </w:r>
      <w:r>
        <w:t xml:space="preserve">, at </w:t>
      </w:r>
      <w:r w:rsidRPr="00C710EE">
        <w:t>325 (“[C]orporate directors as mediating hierarchs enjoy considerable discretion in deciding which members of the corporate coalition receive what portion of the economic surplus resulting from team production. Although the board must meet the minimum demands of each team member to keep the coalition together, beyond that threshold any number of possible allocations among groups is possible.”</w:t>
      </w:r>
      <w:r>
        <w:t xml:space="preserve">). For critiques of stakeholderism based on the difficulty or impossibility of weighing and balancing of stakeholder interests, see, e.g., </w:t>
      </w:r>
      <w:r w:rsidRPr="007A5F3E">
        <w:t xml:space="preserve">Stephen M. Bainbridge, </w:t>
      </w:r>
      <w:r w:rsidRPr="007A5F3E">
        <w:rPr>
          <w:i/>
          <w:iCs/>
        </w:rPr>
        <w:t>In Defense Of The Shareholder Wealth Maximization Norm: A Reply To Professor Green</w:t>
      </w:r>
      <w:r w:rsidRPr="007A5F3E">
        <w:t xml:space="preserve">, 50 </w:t>
      </w:r>
      <w:r w:rsidRPr="00624515">
        <w:rPr>
          <w:smallCaps/>
        </w:rPr>
        <w:t>Wash. &amp; Lee L. Rev.</w:t>
      </w:r>
      <w:r w:rsidRPr="007A5F3E">
        <w:t xml:space="preserve"> 1423 (1993)</w:t>
      </w:r>
      <w:r>
        <w:t xml:space="preserve">; Bebchuk and Tallarita, </w:t>
      </w:r>
      <w:r w:rsidR="00974DAB" w:rsidRPr="006C20E8">
        <w:rPr>
          <w:i/>
          <w:iCs/>
        </w:rPr>
        <w:t xml:space="preserve">supra </w:t>
      </w:r>
      <w:r w:rsidR="00974DAB">
        <w:t xml:space="preserve">note </w:t>
      </w:r>
      <w:r w:rsidR="00974DAB">
        <w:fldChar w:fldCharType="begin"/>
      </w:r>
      <w:r w:rsidR="00974DAB">
        <w:instrText xml:space="preserve"> NOTEREF _Ref180747379 \h </w:instrText>
      </w:r>
      <w:r w:rsidR="00974DAB">
        <w:fldChar w:fldCharType="separate"/>
      </w:r>
      <w:r w:rsidR="005B5BC3">
        <w:t>119</w:t>
      </w:r>
      <w:r w:rsidR="00974DAB">
        <w:fldChar w:fldCharType="end"/>
      </w:r>
      <w:r>
        <w:t xml:space="preserve">, at 119-23 (discussing the difficulties of weighing and balancing of stakeholder interests). </w:t>
      </w:r>
      <w:r w:rsidRPr="00624515">
        <w:rPr>
          <w:i/>
          <w:iCs/>
        </w:rPr>
        <w:t>But see</w:t>
      </w:r>
      <w:r>
        <w:t xml:space="preserve"> Colin Mayer, </w:t>
      </w:r>
      <w:r w:rsidRPr="006C20E8">
        <w:rPr>
          <w:i/>
          <w:iCs/>
        </w:rPr>
        <w:t>Shareholderism Versus Stakeholderism – a Misconceived Contradiction. A Comment on “The Illusory Promise of Stakeholder Governance” by Lucian Bebchuk and Roberto Tallarita</w:t>
      </w:r>
      <w:r>
        <w:t xml:space="preserve">, 106 </w:t>
      </w:r>
      <w:r w:rsidRPr="000A3E89">
        <w:rPr>
          <w:smallCaps/>
        </w:rPr>
        <w:t>Cornell L. Rev.</w:t>
      </w:r>
      <w:r>
        <w:t xml:space="preserve"> 1859, 1865-67 (2020) (responding to critique of stakeholderism based on the weighing and balancing of stakeholder interests).</w:t>
      </w:r>
    </w:p>
  </w:footnote>
  <w:footnote w:id="133">
    <w:p w14:paraId="6C0AE0D8" w14:textId="365A10F1" w:rsidR="006F1644" w:rsidRDefault="006F1644" w:rsidP="001F0A3B">
      <w:pPr>
        <w:pStyle w:val="FootnoteText"/>
      </w:pPr>
      <w:r>
        <w:rPr>
          <w:rStyle w:val="FootnoteReference"/>
        </w:rPr>
        <w:footnoteRef/>
      </w:r>
      <w:r>
        <w:t xml:space="preserve"> Fi</w:t>
      </w:r>
      <w:r w:rsidRPr="00FA10F0">
        <w:rPr>
          <w:rFonts w:cs="Times New Roman"/>
        </w:rPr>
        <w:t xml:space="preserve">duciary duties are </w:t>
      </w:r>
      <w:r>
        <w:rPr>
          <w:rFonts w:cs="Times New Roman"/>
        </w:rPr>
        <w:t xml:space="preserve">typically </w:t>
      </w:r>
      <w:r w:rsidRPr="00FA10F0">
        <w:rPr>
          <w:rFonts w:cs="Times New Roman"/>
        </w:rPr>
        <w:t xml:space="preserve">articulated as just advancing the interests of the corporation and its shareholders. </w:t>
      </w:r>
      <w:r w:rsidRPr="00FA10F0">
        <w:rPr>
          <w:rFonts w:cs="Times New Roman"/>
          <w:i/>
          <w:iCs/>
        </w:rPr>
        <w:t>See, e.g.</w:t>
      </w:r>
      <w:r w:rsidRPr="00FA10F0">
        <w:rPr>
          <w:rFonts w:cs="Times New Roman"/>
        </w:rPr>
        <w:t xml:space="preserve">, </w:t>
      </w:r>
      <w:r w:rsidRPr="004979E2">
        <w:rPr>
          <w:rFonts w:cs="Times New Roman"/>
          <w:i/>
          <w:iCs/>
          <w:bdr w:val="none" w:sz="0" w:space="0" w:color="auto" w:frame="1"/>
          <w:shd w:val="clear" w:color="auto" w:fill="FFFFFF"/>
        </w:rPr>
        <w:t>Revlon, Inc. v. Macandrews &amp; Forbes Holdings, Inc.</w:t>
      </w:r>
      <w:r w:rsidRPr="004979E2">
        <w:rPr>
          <w:rFonts w:cs="Times New Roman"/>
          <w:bdr w:val="none" w:sz="0" w:space="0" w:color="auto" w:frame="1"/>
          <w:shd w:val="clear" w:color="auto" w:fill="FFFFFF"/>
        </w:rPr>
        <w:t>, 506 A.2d 173, 179 (Del. 1986)</w:t>
      </w:r>
      <w:r w:rsidRPr="00FA10F0">
        <w:rPr>
          <w:rFonts w:cs="Times New Roman"/>
        </w:rPr>
        <w:t xml:space="preserve"> (“[D]</w:t>
      </w:r>
      <w:r w:rsidRPr="00FA10F0">
        <w:rPr>
          <w:rFonts w:cs="Times New Roman"/>
          <w:color w:val="00172E"/>
        </w:rPr>
        <w:t>irectors owe fiduciary </w:t>
      </w:r>
      <w:r w:rsidRPr="00FA10F0">
        <w:rPr>
          <w:rStyle w:val="sssh"/>
          <w:rFonts w:cs="Times New Roman"/>
          <w:color w:val="00172E"/>
          <w:bdr w:val="none" w:sz="0" w:space="0" w:color="auto" w:frame="1"/>
        </w:rPr>
        <w:t>duties of care</w:t>
      </w:r>
      <w:r w:rsidRPr="00FA10F0">
        <w:rPr>
          <w:rFonts w:cs="Times New Roman"/>
          <w:color w:val="00172E"/>
        </w:rPr>
        <w:t> and loyalty to the </w:t>
      </w:r>
      <w:r w:rsidRPr="00FA10F0">
        <w:rPr>
          <w:rStyle w:val="sssh"/>
          <w:rFonts w:cs="Times New Roman"/>
          <w:color w:val="00172E"/>
          <w:bdr w:val="none" w:sz="0" w:space="0" w:color="auto" w:frame="1"/>
        </w:rPr>
        <w:t>corporation</w:t>
      </w:r>
      <w:r w:rsidRPr="00FA10F0">
        <w:rPr>
          <w:rFonts w:cs="Times New Roman"/>
          <w:color w:val="00172E"/>
        </w:rPr>
        <w:t> and its </w:t>
      </w:r>
      <w:r w:rsidRPr="00FA10F0">
        <w:rPr>
          <w:rStyle w:val="sssh"/>
          <w:rFonts w:cs="Times New Roman"/>
          <w:color w:val="00172E"/>
          <w:bdr w:val="none" w:sz="0" w:space="0" w:color="auto" w:frame="1"/>
        </w:rPr>
        <w:t>shareholders</w:t>
      </w:r>
      <w:r>
        <w:rPr>
          <w:rFonts w:cs="Times New Roman"/>
          <w:color w:val="00172E"/>
        </w:rPr>
        <w:t>.”), but they could be broadened by the courts or the legislature (as some did with constituency statutes) to allow the consideration of other ends.</w:t>
      </w:r>
      <w:r w:rsidRPr="00FA10F0">
        <w:rPr>
          <w:rFonts w:cs="Times New Roman"/>
        </w:rPr>
        <w:t xml:space="preserve">  This would more readily allow managers to further stakeholder interests without the threat of litigation based on alleged violations of their fiduciary duties. </w:t>
      </w:r>
      <w:r>
        <w:rPr>
          <w:rFonts w:cs="Times New Roman"/>
        </w:rPr>
        <w:t xml:space="preserve"> It is unclear how much difference this would make in any event. E</w:t>
      </w:r>
      <w:r w:rsidRPr="00FA10F0">
        <w:rPr>
          <w:rFonts w:cs="Times New Roman"/>
        </w:rPr>
        <w:t xml:space="preserve">ven in the absence of a broadened articulation of managers’ fiduciary duties, the business judgment rule affords corporate managers the ability to advance stakeholder interests in certain circumstances without judicial scrutiny. </w:t>
      </w:r>
      <w:r w:rsidRPr="00FA10F0">
        <w:rPr>
          <w:rFonts w:cs="Times New Roman"/>
          <w:i/>
          <w:iCs/>
        </w:rPr>
        <w:t>See, e.g.</w:t>
      </w:r>
      <w:r w:rsidRPr="00FA10F0">
        <w:rPr>
          <w:rFonts w:cs="Times New Roman"/>
        </w:rPr>
        <w:t xml:space="preserve">, Elhauge, </w:t>
      </w:r>
      <w:r w:rsidRPr="00B25141">
        <w:rPr>
          <w:rFonts w:cs="Times New Roman"/>
        </w:rPr>
        <w:t>note</w:t>
      </w:r>
      <w:r w:rsidRPr="00FA10F0">
        <w:rPr>
          <w:rFonts w:cs="Times New Roman"/>
          <w:i/>
          <w:iCs/>
        </w:rPr>
        <w:t xml:space="preserve"> </w:t>
      </w:r>
      <w:r w:rsidR="00B25141" w:rsidRPr="00B25141">
        <w:rPr>
          <w:rFonts w:cs="Times New Roman"/>
        </w:rPr>
        <w:fldChar w:fldCharType="begin"/>
      </w:r>
      <w:r w:rsidR="00B25141" w:rsidRPr="00B25141">
        <w:rPr>
          <w:rFonts w:cs="Times New Roman"/>
        </w:rPr>
        <w:instrText xml:space="preserve"> NOTEREF _Ref180747272 \h  \* MERGEFORMAT </w:instrText>
      </w:r>
      <w:r w:rsidR="00B25141" w:rsidRPr="00B25141">
        <w:rPr>
          <w:rFonts w:cs="Times New Roman"/>
        </w:rPr>
      </w:r>
      <w:r w:rsidR="00B25141" w:rsidRPr="00B25141">
        <w:rPr>
          <w:rFonts w:cs="Times New Roman"/>
        </w:rPr>
        <w:fldChar w:fldCharType="separate"/>
      </w:r>
      <w:r w:rsidR="005B5BC3">
        <w:rPr>
          <w:rFonts w:cs="Times New Roman"/>
        </w:rPr>
        <w:t>39</w:t>
      </w:r>
      <w:r w:rsidR="00B25141" w:rsidRPr="00B25141">
        <w:rPr>
          <w:rFonts w:cs="Times New Roman"/>
        </w:rPr>
        <w:fldChar w:fldCharType="end"/>
      </w:r>
      <w:r w:rsidR="00B25141" w:rsidRPr="00B25141">
        <w:rPr>
          <w:rFonts w:cs="Times New Roman"/>
        </w:rPr>
        <w:t xml:space="preserve"> </w:t>
      </w:r>
      <w:r w:rsidRPr="00B25141">
        <w:rPr>
          <w:rFonts w:cs="Times New Roman"/>
          <w:i/>
          <w:iCs/>
        </w:rPr>
        <w:t>supra</w:t>
      </w:r>
      <w:r w:rsidRPr="00FA10F0">
        <w:rPr>
          <w:rFonts w:cs="Times New Roman"/>
        </w:rPr>
        <w:t xml:space="preserve">, at 763-69; Chris Brummer </w:t>
      </w:r>
      <w:r>
        <w:rPr>
          <w:rFonts w:cs="Times New Roman"/>
        </w:rPr>
        <w:t>&amp;</w:t>
      </w:r>
      <w:r w:rsidRPr="00FA10F0">
        <w:rPr>
          <w:rFonts w:cs="Times New Roman"/>
        </w:rPr>
        <w:t xml:space="preserve"> Leo E. Strine, Jr., </w:t>
      </w:r>
      <w:r w:rsidRPr="00FA10F0">
        <w:rPr>
          <w:rFonts w:cs="Times New Roman"/>
          <w:i/>
          <w:iCs/>
        </w:rPr>
        <w:t>Duty and Diversity</w:t>
      </w:r>
      <w:r w:rsidRPr="00FA10F0">
        <w:rPr>
          <w:rFonts w:cs="Times New Roman"/>
        </w:rPr>
        <w:t xml:space="preserve">, 75 </w:t>
      </w:r>
      <w:r w:rsidRPr="00FA10F0">
        <w:rPr>
          <w:rFonts w:cs="Times New Roman"/>
          <w:smallCaps/>
        </w:rPr>
        <w:t>Vand. L. Rev.</w:t>
      </w:r>
      <w:r w:rsidRPr="00FA10F0">
        <w:rPr>
          <w:rFonts w:cs="Times New Roman"/>
        </w:rPr>
        <w:t xml:space="preserve"> 1, 77-81 (2022).</w:t>
      </w:r>
    </w:p>
  </w:footnote>
  <w:footnote w:id="134">
    <w:p w14:paraId="76660F25" w14:textId="0253625F" w:rsidR="006F1644" w:rsidRDefault="006F1644">
      <w:pPr>
        <w:pStyle w:val="FootnoteText"/>
      </w:pPr>
      <w:r>
        <w:rPr>
          <w:rStyle w:val="FootnoteReference"/>
        </w:rPr>
        <w:footnoteRef/>
      </w:r>
      <w:r>
        <w:t xml:space="preserve"> </w:t>
      </w:r>
      <w:r w:rsidRPr="00FA10F0">
        <w:rPr>
          <w:rFonts w:cs="Times New Roman"/>
        </w:rPr>
        <w:t xml:space="preserve">State corporate law could be reformulated so that non-shareholder stakeholders are also given the right to vote in corporate elections. </w:t>
      </w:r>
      <w:r w:rsidRPr="00FA10F0">
        <w:rPr>
          <w:rFonts w:cs="Times New Roman"/>
          <w:bCs/>
          <w:i/>
          <w:iCs/>
        </w:rPr>
        <w:t>See, e.g.</w:t>
      </w:r>
      <w:r w:rsidRPr="00FA10F0">
        <w:rPr>
          <w:rFonts w:cs="Times New Roman"/>
          <w:bCs/>
        </w:rPr>
        <w:t xml:space="preserve">, McDonnell, </w:t>
      </w:r>
      <w:r w:rsidRPr="00FA10F0">
        <w:rPr>
          <w:rFonts w:cs="Times New Roman"/>
          <w:bCs/>
          <w:i/>
          <w:iCs/>
        </w:rPr>
        <w:t xml:space="preserve">supra </w:t>
      </w:r>
      <w:r w:rsidRPr="00FA10F0">
        <w:rPr>
          <w:rFonts w:cs="Times New Roman"/>
          <w:bCs/>
        </w:rPr>
        <w:t xml:space="preserve">note </w:t>
      </w:r>
      <w:r w:rsidR="00B25141">
        <w:rPr>
          <w:rFonts w:cs="Times New Roman"/>
          <w:bCs/>
        </w:rPr>
        <w:fldChar w:fldCharType="begin"/>
      </w:r>
      <w:r w:rsidR="00B25141">
        <w:rPr>
          <w:rFonts w:cs="Times New Roman"/>
          <w:bCs/>
        </w:rPr>
        <w:instrText xml:space="preserve"> NOTEREF _Ref180748001 \h </w:instrText>
      </w:r>
      <w:r w:rsidR="00B25141">
        <w:rPr>
          <w:rFonts w:cs="Times New Roman"/>
          <w:bCs/>
        </w:rPr>
      </w:r>
      <w:r w:rsidR="00B25141">
        <w:rPr>
          <w:rFonts w:cs="Times New Roman"/>
          <w:bCs/>
        </w:rPr>
        <w:fldChar w:fldCharType="separate"/>
      </w:r>
      <w:r w:rsidR="005B5BC3">
        <w:rPr>
          <w:rFonts w:cs="Times New Roman"/>
          <w:bCs/>
        </w:rPr>
        <w:t>13</w:t>
      </w:r>
      <w:r w:rsidR="00B25141">
        <w:rPr>
          <w:rFonts w:cs="Times New Roman"/>
          <w:bCs/>
        </w:rPr>
        <w:fldChar w:fldCharType="end"/>
      </w:r>
      <w:r w:rsidR="00B25141">
        <w:rPr>
          <w:rFonts w:cs="Times New Roman"/>
          <w:bCs/>
        </w:rPr>
        <w:t xml:space="preserve">. </w:t>
      </w:r>
      <w:r w:rsidRPr="00FA10F0">
        <w:rPr>
          <w:rFonts w:cs="Times New Roman"/>
        </w:rPr>
        <w:t xml:space="preserve">They could be guaranteed seats on the board. For example, in Germany, a certain percentage of the board seats of publicly traded corporations with over 500 employees must be held by employee representatives. </w:t>
      </w:r>
      <w:r w:rsidRPr="00FA10F0">
        <w:rPr>
          <w:rFonts w:cs="Times New Roman"/>
          <w:i/>
          <w:iCs/>
        </w:rPr>
        <w:t>See, e.g.</w:t>
      </w:r>
      <w:r w:rsidRPr="00FA10F0">
        <w:rPr>
          <w:rFonts w:cs="Times New Roman"/>
        </w:rPr>
        <w:t xml:space="preserve">, Irene Bucelli, Silvia Gatti &amp; Federica Soro, </w:t>
      </w:r>
      <w:r w:rsidRPr="00FA10F0">
        <w:rPr>
          <w:rFonts w:cs="Times New Roman"/>
          <w:i/>
          <w:iCs/>
        </w:rPr>
        <w:t>Worker Participation: Employee Ownership and Representation, Harvard Law School Forum on Corporate Governance</w:t>
      </w:r>
      <w:r w:rsidRPr="00FA10F0">
        <w:rPr>
          <w:rFonts w:cs="Times New Roman"/>
        </w:rPr>
        <w:t xml:space="preserve"> (2020), https://corpgov.law.harvard.edu/2020/01/23/worker-participation-employee-ownership-and-representation/. Legislation could be enacted that obligates corporate managers to consider the interests of all stakeholders when making a business decision. For example, Senator Warren’s “Accountable Capitalism Act” would require large corporations </w:t>
      </w:r>
      <w:r w:rsidRPr="008C2E9D">
        <w:rPr>
          <w:rFonts w:cs="Times New Roman"/>
        </w:rPr>
        <w:t xml:space="preserve">to obtain a federal charter that obligates their directors to “consider the interests of all corporate stakeholders” </w:t>
      </w:r>
      <w:r w:rsidRPr="008C2E9D">
        <w:rPr>
          <w:rFonts w:cs="Times New Roman"/>
          <w:i/>
          <w:iCs/>
        </w:rPr>
        <w:t>See</w:t>
      </w:r>
      <w:r w:rsidRPr="008C2E9D">
        <w:rPr>
          <w:rFonts w:cs="Times New Roman"/>
        </w:rPr>
        <w:t xml:space="preserve"> Sen. Elizabeth Warren, Warren Introduces Accountable Capitalism Act (2018), https://www.warren.senate.gov/newsroom/press-releases/warren-introduces-accountable-capitalism-act. So-called constituency statutes, which have been enacted by many states but not Delaware or California, broadened the interests that corporate directors may consider when assessing the corporation’s best interests. </w:t>
      </w:r>
      <w:r w:rsidRPr="008C2E9D">
        <w:rPr>
          <w:rFonts w:cs="Times New Roman"/>
          <w:i/>
          <w:iCs/>
        </w:rPr>
        <w:t>See, e.g.</w:t>
      </w:r>
      <w:r w:rsidRPr="008C2E9D">
        <w:rPr>
          <w:rFonts w:cs="Times New Roman"/>
        </w:rPr>
        <w:t xml:space="preserve">, </w:t>
      </w:r>
      <w:r w:rsidRPr="008C2E9D">
        <w:rPr>
          <w:rFonts w:cs="Times New Roman"/>
          <w:shd w:val="clear" w:color="auto" w:fill="FFFFFF"/>
        </w:rPr>
        <w:t>Minn. Stat. § 302A.251, Subd. 5 (“</w:t>
      </w:r>
      <w:r w:rsidRPr="008C2E9D">
        <w:rPr>
          <w:rFonts w:eastAsia="Times New Roman" w:cs="Times New Roman"/>
        </w:rPr>
        <w:t xml:space="preserve">In discharging the duties of the position of director, a director may, in considering the best interests of the corporation, consider the interests of the corporation's employees, customers, suppliers, and creditors, the economy of the state and nation, community and societal considerations, and the long-term as well as short-term interests of the corporation and its shareholders including the possibility that these interests may be best served by the continued independence of the corporation.”). For a discussion of constituency statutes, see Michal Barzuza, </w:t>
      </w:r>
      <w:r w:rsidRPr="008C2E9D">
        <w:rPr>
          <w:rFonts w:eastAsia="Times New Roman" w:cs="Times New Roman"/>
          <w:i/>
          <w:iCs/>
        </w:rPr>
        <w:t>The State of State Antitakeover Law</w:t>
      </w:r>
      <w:r w:rsidRPr="008C2E9D">
        <w:rPr>
          <w:rFonts w:eastAsia="Times New Roman" w:cs="Times New Roman"/>
        </w:rPr>
        <w:t>, 95 Va. L. Rev. 1973, 1995-97 (2009). The obligations of directors would then be</w:t>
      </w:r>
      <w:r w:rsidRPr="008C2E9D">
        <w:rPr>
          <w:rFonts w:cs="Times New Roman"/>
        </w:rPr>
        <w:t xml:space="preserve"> similar to the obligation imposed on the managers of public benefit corporations. Directors of public benefit corporations are required to take stakeholder interests into consideration, </w:t>
      </w:r>
      <w:r w:rsidRPr="008C2E9D">
        <w:rPr>
          <w:rFonts w:cs="Times New Roman"/>
          <w:i/>
          <w:iCs/>
        </w:rPr>
        <w:t>see, e.g.</w:t>
      </w:r>
      <w:r w:rsidRPr="008C2E9D">
        <w:rPr>
          <w:rFonts w:cs="Times New Roman"/>
        </w:rPr>
        <w:t>, DGCL§ 365(a) (“T</w:t>
      </w:r>
      <w:r w:rsidRPr="008C2E9D">
        <w:rPr>
          <w:rFonts w:cs="Times New Roman"/>
          <w:shd w:val="clear" w:color="auto" w:fill="FFFFFF"/>
        </w:rPr>
        <w:t xml:space="preserve">he board of directors [of a public benefit corporation] shall manage or direct the business and affairs of the public benefit corporation in a manner that balances the pecuniary interests of the stockholders, the best interests of those materially affected by the corporation’s conduct, and the specific public benefit or public benefits identified in its certificate of incorporation”), though some have argued that this legal requirement has not caused publicly-traded public benefit corporations </w:t>
      </w:r>
      <w:r w:rsidRPr="00FA10F0">
        <w:rPr>
          <w:rFonts w:cs="Times New Roman"/>
          <w:color w:val="333333"/>
          <w:shd w:val="clear" w:color="auto" w:fill="FFFFFF"/>
        </w:rPr>
        <w:t xml:space="preserve">to materially abandon the shareholder primacy model. </w:t>
      </w:r>
      <w:r w:rsidRPr="00FA10F0">
        <w:rPr>
          <w:rFonts w:cs="Times New Roman"/>
          <w:i/>
          <w:iCs/>
          <w:color w:val="333333"/>
          <w:shd w:val="clear" w:color="auto" w:fill="FFFFFF"/>
        </w:rPr>
        <w:t xml:space="preserve">See </w:t>
      </w:r>
      <w:r w:rsidRPr="00FA10F0">
        <w:rPr>
          <w:rFonts w:cs="Times New Roman"/>
        </w:rPr>
        <w:t xml:space="preserve">Jill E. Fisch &amp; Steven Davidoff Solomon, </w:t>
      </w:r>
      <w:r w:rsidRPr="00FA10F0">
        <w:rPr>
          <w:rFonts w:cs="Times New Roman"/>
          <w:i/>
          <w:iCs/>
        </w:rPr>
        <w:t>The “Value” of a Public Benefit Corporation</w:t>
      </w:r>
      <w:r w:rsidRPr="00FA10F0">
        <w:rPr>
          <w:rFonts w:cs="Times New Roman"/>
        </w:rPr>
        <w:t xml:space="preserve">, in </w:t>
      </w:r>
      <w:r w:rsidRPr="00FA10F0">
        <w:rPr>
          <w:rFonts w:cs="Times New Roman"/>
          <w:smallCaps/>
        </w:rPr>
        <w:t>Research Handbook on Corporate Purpose and Personhood</w:t>
      </w:r>
      <w:r w:rsidRPr="00FA10F0">
        <w:rPr>
          <w:rFonts w:cs="Times New Roman"/>
        </w:rPr>
        <w:t xml:space="preserve"> 68 (E. Pollman &amp; Robert B. Thompson, eds. 2021).  Finally, corporate governance reforms might alter managerial incentives in a manner that better promotes stakeholderism, for instance by better </w:t>
      </w:r>
      <w:r w:rsidR="008C2E9D">
        <w:rPr>
          <w:rFonts w:cs="Times New Roman"/>
        </w:rPr>
        <w:t>tying</w:t>
      </w:r>
      <w:r w:rsidRPr="00FA10F0">
        <w:rPr>
          <w:rFonts w:cs="Times New Roman"/>
        </w:rPr>
        <w:t xml:space="preserve"> managerial compensation to stakeholder outcomes.</w:t>
      </w:r>
      <w:r w:rsidRPr="00FA10F0">
        <w:rPr>
          <w:rFonts w:cs="Times New Roman"/>
          <w:i/>
          <w:iCs/>
        </w:rPr>
        <w:t xml:space="preserve"> </w:t>
      </w:r>
      <w:r w:rsidR="008C2E9D">
        <w:rPr>
          <w:rFonts w:cs="Times New Roman"/>
          <w:i/>
          <w:iCs/>
        </w:rPr>
        <w:t xml:space="preserve">See </w:t>
      </w:r>
      <w:r w:rsidR="008C2E9D">
        <w:rPr>
          <w:rFonts w:cs="Times New Roman"/>
        </w:rPr>
        <w:t xml:space="preserve">notes </w:t>
      </w:r>
      <w:r w:rsidR="008C2E9D">
        <w:rPr>
          <w:rFonts w:cs="Times New Roman"/>
        </w:rPr>
        <w:fldChar w:fldCharType="begin"/>
      </w:r>
      <w:r w:rsidR="008C2E9D">
        <w:rPr>
          <w:rFonts w:cs="Times New Roman"/>
        </w:rPr>
        <w:instrText xml:space="preserve"> NOTEREF _Ref180749235 \h </w:instrText>
      </w:r>
      <w:r w:rsidR="008C2E9D">
        <w:rPr>
          <w:rFonts w:cs="Times New Roman"/>
        </w:rPr>
      </w:r>
      <w:r w:rsidR="008C2E9D">
        <w:rPr>
          <w:rFonts w:cs="Times New Roman"/>
        </w:rPr>
        <w:fldChar w:fldCharType="separate"/>
      </w:r>
      <w:r w:rsidR="005B5BC3">
        <w:rPr>
          <w:rFonts w:cs="Times New Roman"/>
        </w:rPr>
        <w:t>73</w:t>
      </w:r>
      <w:r w:rsidR="008C2E9D">
        <w:rPr>
          <w:rFonts w:cs="Times New Roman"/>
        </w:rPr>
        <w:fldChar w:fldCharType="end"/>
      </w:r>
      <w:r w:rsidR="008C2E9D">
        <w:rPr>
          <w:rFonts w:cs="Times New Roman"/>
        </w:rPr>
        <w:t>-</w:t>
      </w:r>
      <w:r w:rsidR="008C2E9D">
        <w:rPr>
          <w:rFonts w:cs="Times New Roman"/>
        </w:rPr>
        <w:fldChar w:fldCharType="begin"/>
      </w:r>
      <w:r w:rsidR="008C2E9D">
        <w:rPr>
          <w:rFonts w:cs="Times New Roman"/>
        </w:rPr>
        <w:instrText xml:space="preserve"> NOTEREF _Ref180749250 \h </w:instrText>
      </w:r>
      <w:r w:rsidR="008C2E9D">
        <w:rPr>
          <w:rFonts w:cs="Times New Roman"/>
        </w:rPr>
      </w:r>
      <w:r w:rsidR="008C2E9D">
        <w:rPr>
          <w:rFonts w:cs="Times New Roman"/>
        </w:rPr>
        <w:fldChar w:fldCharType="separate"/>
      </w:r>
      <w:r w:rsidR="005B5BC3">
        <w:rPr>
          <w:rFonts w:cs="Times New Roman"/>
        </w:rPr>
        <w:t>76</w:t>
      </w:r>
      <w:r w:rsidR="008C2E9D">
        <w:rPr>
          <w:rFonts w:cs="Times New Roman"/>
        </w:rPr>
        <w:fldChar w:fldCharType="end"/>
      </w:r>
      <w:r w:rsidR="008C2E9D">
        <w:rPr>
          <w:rFonts w:cs="Times New Roman"/>
        </w:rPr>
        <w:t xml:space="preserve"> </w:t>
      </w:r>
      <w:r w:rsidR="008C2E9D" w:rsidRPr="008C2E9D">
        <w:rPr>
          <w:rFonts w:cs="Times New Roman"/>
          <w:i/>
          <w:iCs/>
        </w:rPr>
        <w:t>supra</w:t>
      </w:r>
      <w:r w:rsidR="008C2E9D">
        <w:rPr>
          <w:rFonts w:cs="Times New Roman"/>
        </w:rPr>
        <w:t xml:space="preserve"> and associated text.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1026C"/>
    <w:multiLevelType w:val="hybridMultilevel"/>
    <w:tmpl w:val="52C84080"/>
    <w:lvl w:ilvl="0" w:tplc="F01AD538">
      <w:start w:val="1"/>
      <w:numFmt w:val="decimal"/>
      <w:lvlText w:val="%1."/>
      <w:lvlJc w:val="left"/>
      <w:pPr>
        <w:ind w:left="1020" w:hanging="360"/>
      </w:pPr>
    </w:lvl>
    <w:lvl w:ilvl="1" w:tplc="5B1CDE8E">
      <w:start w:val="1"/>
      <w:numFmt w:val="decimal"/>
      <w:lvlText w:val="%2."/>
      <w:lvlJc w:val="left"/>
      <w:pPr>
        <w:ind w:left="1020" w:hanging="360"/>
      </w:pPr>
    </w:lvl>
    <w:lvl w:ilvl="2" w:tplc="6E9E4474">
      <w:start w:val="1"/>
      <w:numFmt w:val="decimal"/>
      <w:lvlText w:val="%3."/>
      <w:lvlJc w:val="left"/>
      <w:pPr>
        <w:ind w:left="1020" w:hanging="360"/>
      </w:pPr>
    </w:lvl>
    <w:lvl w:ilvl="3" w:tplc="6DB2B41A">
      <w:start w:val="1"/>
      <w:numFmt w:val="decimal"/>
      <w:lvlText w:val="%4."/>
      <w:lvlJc w:val="left"/>
      <w:pPr>
        <w:ind w:left="1020" w:hanging="360"/>
      </w:pPr>
    </w:lvl>
    <w:lvl w:ilvl="4" w:tplc="CCEAC0B6">
      <w:start w:val="1"/>
      <w:numFmt w:val="decimal"/>
      <w:lvlText w:val="%5."/>
      <w:lvlJc w:val="left"/>
      <w:pPr>
        <w:ind w:left="1020" w:hanging="360"/>
      </w:pPr>
    </w:lvl>
    <w:lvl w:ilvl="5" w:tplc="90A6A4D2">
      <w:start w:val="1"/>
      <w:numFmt w:val="decimal"/>
      <w:lvlText w:val="%6."/>
      <w:lvlJc w:val="left"/>
      <w:pPr>
        <w:ind w:left="1020" w:hanging="360"/>
      </w:pPr>
    </w:lvl>
    <w:lvl w:ilvl="6" w:tplc="A2763020">
      <w:start w:val="1"/>
      <w:numFmt w:val="decimal"/>
      <w:lvlText w:val="%7."/>
      <w:lvlJc w:val="left"/>
      <w:pPr>
        <w:ind w:left="1020" w:hanging="360"/>
      </w:pPr>
    </w:lvl>
    <w:lvl w:ilvl="7" w:tplc="C840C9C0">
      <w:start w:val="1"/>
      <w:numFmt w:val="decimal"/>
      <w:lvlText w:val="%8."/>
      <w:lvlJc w:val="left"/>
      <w:pPr>
        <w:ind w:left="1020" w:hanging="360"/>
      </w:pPr>
    </w:lvl>
    <w:lvl w:ilvl="8" w:tplc="8294FF12">
      <w:start w:val="1"/>
      <w:numFmt w:val="decimal"/>
      <w:lvlText w:val="%9."/>
      <w:lvlJc w:val="left"/>
      <w:pPr>
        <w:ind w:left="1020" w:hanging="360"/>
      </w:pPr>
    </w:lvl>
  </w:abstractNum>
  <w:abstractNum w:abstractNumId="1" w15:restartNumberingAfterBreak="0">
    <w:nsid w:val="05971F22"/>
    <w:multiLevelType w:val="hybridMultilevel"/>
    <w:tmpl w:val="FFB094C4"/>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8B83EDC"/>
    <w:multiLevelType w:val="hybridMultilevel"/>
    <w:tmpl w:val="DC38F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87977"/>
    <w:multiLevelType w:val="hybridMultilevel"/>
    <w:tmpl w:val="7E24C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27316"/>
    <w:multiLevelType w:val="hybridMultilevel"/>
    <w:tmpl w:val="E9BEB070"/>
    <w:lvl w:ilvl="0" w:tplc="64E2A918">
      <w:start w:val="1"/>
      <w:numFmt w:val="decimal"/>
      <w:lvlText w:val="%1."/>
      <w:lvlJc w:val="left"/>
      <w:pPr>
        <w:ind w:left="1020" w:hanging="360"/>
      </w:pPr>
    </w:lvl>
    <w:lvl w:ilvl="1" w:tplc="6DF6D7A4">
      <w:start w:val="1"/>
      <w:numFmt w:val="decimal"/>
      <w:lvlText w:val="%2."/>
      <w:lvlJc w:val="left"/>
      <w:pPr>
        <w:ind w:left="1020" w:hanging="360"/>
      </w:pPr>
    </w:lvl>
    <w:lvl w:ilvl="2" w:tplc="473898EC">
      <w:start w:val="1"/>
      <w:numFmt w:val="decimal"/>
      <w:lvlText w:val="%3."/>
      <w:lvlJc w:val="left"/>
      <w:pPr>
        <w:ind w:left="1020" w:hanging="360"/>
      </w:pPr>
    </w:lvl>
    <w:lvl w:ilvl="3" w:tplc="038C7058">
      <w:start w:val="1"/>
      <w:numFmt w:val="decimal"/>
      <w:lvlText w:val="%4."/>
      <w:lvlJc w:val="left"/>
      <w:pPr>
        <w:ind w:left="1020" w:hanging="360"/>
      </w:pPr>
    </w:lvl>
    <w:lvl w:ilvl="4" w:tplc="634E1392">
      <w:start w:val="1"/>
      <w:numFmt w:val="decimal"/>
      <w:lvlText w:val="%5."/>
      <w:lvlJc w:val="left"/>
      <w:pPr>
        <w:ind w:left="1020" w:hanging="360"/>
      </w:pPr>
    </w:lvl>
    <w:lvl w:ilvl="5" w:tplc="1E62E5DA">
      <w:start w:val="1"/>
      <w:numFmt w:val="decimal"/>
      <w:lvlText w:val="%6."/>
      <w:lvlJc w:val="left"/>
      <w:pPr>
        <w:ind w:left="1020" w:hanging="360"/>
      </w:pPr>
    </w:lvl>
    <w:lvl w:ilvl="6" w:tplc="9F9818C4">
      <w:start w:val="1"/>
      <w:numFmt w:val="decimal"/>
      <w:lvlText w:val="%7."/>
      <w:lvlJc w:val="left"/>
      <w:pPr>
        <w:ind w:left="1020" w:hanging="360"/>
      </w:pPr>
    </w:lvl>
    <w:lvl w:ilvl="7" w:tplc="9BB86CC8">
      <w:start w:val="1"/>
      <w:numFmt w:val="decimal"/>
      <w:lvlText w:val="%8."/>
      <w:lvlJc w:val="left"/>
      <w:pPr>
        <w:ind w:left="1020" w:hanging="360"/>
      </w:pPr>
    </w:lvl>
    <w:lvl w:ilvl="8" w:tplc="A566A6AA">
      <w:start w:val="1"/>
      <w:numFmt w:val="decimal"/>
      <w:lvlText w:val="%9."/>
      <w:lvlJc w:val="left"/>
      <w:pPr>
        <w:ind w:left="1020" w:hanging="360"/>
      </w:pPr>
    </w:lvl>
  </w:abstractNum>
  <w:abstractNum w:abstractNumId="5" w15:restartNumberingAfterBreak="0">
    <w:nsid w:val="18BC2B34"/>
    <w:multiLevelType w:val="hybridMultilevel"/>
    <w:tmpl w:val="5F6883C6"/>
    <w:lvl w:ilvl="0" w:tplc="DED8C746">
      <w:start w:val="1"/>
      <w:numFmt w:val="decimal"/>
      <w:lvlText w:val="%1."/>
      <w:lvlJc w:val="left"/>
      <w:pPr>
        <w:ind w:left="1020" w:hanging="360"/>
      </w:pPr>
    </w:lvl>
    <w:lvl w:ilvl="1" w:tplc="6A0E3284">
      <w:start w:val="1"/>
      <w:numFmt w:val="decimal"/>
      <w:lvlText w:val="%2."/>
      <w:lvlJc w:val="left"/>
      <w:pPr>
        <w:ind w:left="1020" w:hanging="360"/>
      </w:pPr>
    </w:lvl>
    <w:lvl w:ilvl="2" w:tplc="3F0E807E">
      <w:start w:val="1"/>
      <w:numFmt w:val="decimal"/>
      <w:lvlText w:val="%3."/>
      <w:lvlJc w:val="left"/>
      <w:pPr>
        <w:ind w:left="1020" w:hanging="360"/>
      </w:pPr>
    </w:lvl>
    <w:lvl w:ilvl="3" w:tplc="E634F49C">
      <w:start w:val="1"/>
      <w:numFmt w:val="decimal"/>
      <w:lvlText w:val="%4."/>
      <w:lvlJc w:val="left"/>
      <w:pPr>
        <w:ind w:left="1020" w:hanging="360"/>
      </w:pPr>
    </w:lvl>
    <w:lvl w:ilvl="4" w:tplc="C0DA1094">
      <w:start w:val="1"/>
      <w:numFmt w:val="decimal"/>
      <w:lvlText w:val="%5."/>
      <w:lvlJc w:val="left"/>
      <w:pPr>
        <w:ind w:left="1020" w:hanging="360"/>
      </w:pPr>
    </w:lvl>
    <w:lvl w:ilvl="5" w:tplc="6038CA0E">
      <w:start w:val="1"/>
      <w:numFmt w:val="decimal"/>
      <w:lvlText w:val="%6."/>
      <w:lvlJc w:val="left"/>
      <w:pPr>
        <w:ind w:left="1020" w:hanging="360"/>
      </w:pPr>
    </w:lvl>
    <w:lvl w:ilvl="6" w:tplc="2214B06E">
      <w:start w:val="1"/>
      <w:numFmt w:val="decimal"/>
      <w:lvlText w:val="%7."/>
      <w:lvlJc w:val="left"/>
      <w:pPr>
        <w:ind w:left="1020" w:hanging="360"/>
      </w:pPr>
    </w:lvl>
    <w:lvl w:ilvl="7" w:tplc="F758836E">
      <w:start w:val="1"/>
      <w:numFmt w:val="decimal"/>
      <w:lvlText w:val="%8."/>
      <w:lvlJc w:val="left"/>
      <w:pPr>
        <w:ind w:left="1020" w:hanging="360"/>
      </w:pPr>
    </w:lvl>
    <w:lvl w:ilvl="8" w:tplc="9A66D13A">
      <w:start w:val="1"/>
      <w:numFmt w:val="decimal"/>
      <w:lvlText w:val="%9."/>
      <w:lvlJc w:val="left"/>
      <w:pPr>
        <w:ind w:left="1020" w:hanging="360"/>
      </w:pPr>
    </w:lvl>
  </w:abstractNum>
  <w:abstractNum w:abstractNumId="6" w15:restartNumberingAfterBreak="0">
    <w:nsid w:val="19161D3F"/>
    <w:multiLevelType w:val="hybridMultilevel"/>
    <w:tmpl w:val="3AE033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2B1D9E"/>
    <w:multiLevelType w:val="hybridMultilevel"/>
    <w:tmpl w:val="C492D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9273FC"/>
    <w:multiLevelType w:val="hybridMultilevel"/>
    <w:tmpl w:val="A7306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AC230D"/>
    <w:multiLevelType w:val="hybridMultilevel"/>
    <w:tmpl w:val="C0447194"/>
    <w:lvl w:ilvl="0" w:tplc="9BCA2BFE">
      <w:start w:val="1"/>
      <w:numFmt w:val="decimal"/>
      <w:lvlText w:val="%1."/>
      <w:lvlJc w:val="left"/>
      <w:pPr>
        <w:ind w:left="720" w:hanging="360"/>
      </w:pPr>
    </w:lvl>
    <w:lvl w:ilvl="1" w:tplc="36024936">
      <w:start w:val="1"/>
      <w:numFmt w:val="decimal"/>
      <w:lvlText w:val="%2."/>
      <w:lvlJc w:val="left"/>
      <w:pPr>
        <w:ind w:left="720" w:hanging="360"/>
      </w:pPr>
    </w:lvl>
    <w:lvl w:ilvl="2" w:tplc="08F03004">
      <w:start w:val="1"/>
      <w:numFmt w:val="decimal"/>
      <w:lvlText w:val="%3."/>
      <w:lvlJc w:val="left"/>
      <w:pPr>
        <w:ind w:left="720" w:hanging="360"/>
      </w:pPr>
    </w:lvl>
    <w:lvl w:ilvl="3" w:tplc="5AB8B43A">
      <w:start w:val="1"/>
      <w:numFmt w:val="decimal"/>
      <w:lvlText w:val="%4."/>
      <w:lvlJc w:val="left"/>
      <w:pPr>
        <w:ind w:left="720" w:hanging="360"/>
      </w:pPr>
    </w:lvl>
    <w:lvl w:ilvl="4" w:tplc="C1322484">
      <w:start w:val="1"/>
      <w:numFmt w:val="decimal"/>
      <w:lvlText w:val="%5."/>
      <w:lvlJc w:val="left"/>
      <w:pPr>
        <w:ind w:left="720" w:hanging="360"/>
      </w:pPr>
    </w:lvl>
    <w:lvl w:ilvl="5" w:tplc="2F1EF82A">
      <w:start w:val="1"/>
      <w:numFmt w:val="decimal"/>
      <w:lvlText w:val="%6."/>
      <w:lvlJc w:val="left"/>
      <w:pPr>
        <w:ind w:left="720" w:hanging="360"/>
      </w:pPr>
    </w:lvl>
    <w:lvl w:ilvl="6" w:tplc="2580EE76">
      <w:start w:val="1"/>
      <w:numFmt w:val="decimal"/>
      <w:lvlText w:val="%7."/>
      <w:lvlJc w:val="left"/>
      <w:pPr>
        <w:ind w:left="720" w:hanging="360"/>
      </w:pPr>
    </w:lvl>
    <w:lvl w:ilvl="7" w:tplc="ECB6A8C4">
      <w:start w:val="1"/>
      <w:numFmt w:val="decimal"/>
      <w:lvlText w:val="%8."/>
      <w:lvlJc w:val="left"/>
      <w:pPr>
        <w:ind w:left="720" w:hanging="360"/>
      </w:pPr>
    </w:lvl>
    <w:lvl w:ilvl="8" w:tplc="116810E2">
      <w:start w:val="1"/>
      <w:numFmt w:val="decimal"/>
      <w:lvlText w:val="%9."/>
      <w:lvlJc w:val="left"/>
      <w:pPr>
        <w:ind w:left="720" w:hanging="360"/>
      </w:pPr>
    </w:lvl>
  </w:abstractNum>
  <w:abstractNum w:abstractNumId="10" w15:restartNumberingAfterBreak="0">
    <w:nsid w:val="1CD306EA"/>
    <w:multiLevelType w:val="hybridMultilevel"/>
    <w:tmpl w:val="6AEC8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A66F2D"/>
    <w:multiLevelType w:val="hybridMultilevel"/>
    <w:tmpl w:val="DBF872CE"/>
    <w:lvl w:ilvl="0" w:tplc="C722EF84">
      <w:start w:val="1"/>
      <w:numFmt w:val="decimal"/>
      <w:lvlText w:val="%1."/>
      <w:lvlJc w:val="left"/>
      <w:pPr>
        <w:ind w:left="1020" w:hanging="360"/>
      </w:pPr>
    </w:lvl>
    <w:lvl w:ilvl="1" w:tplc="4470F24A">
      <w:start w:val="1"/>
      <w:numFmt w:val="decimal"/>
      <w:lvlText w:val="%2."/>
      <w:lvlJc w:val="left"/>
      <w:pPr>
        <w:ind w:left="1020" w:hanging="360"/>
      </w:pPr>
    </w:lvl>
    <w:lvl w:ilvl="2" w:tplc="A6F80A8A">
      <w:start w:val="1"/>
      <w:numFmt w:val="decimal"/>
      <w:lvlText w:val="%3."/>
      <w:lvlJc w:val="left"/>
      <w:pPr>
        <w:ind w:left="1020" w:hanging="360"/>
      </w:pPr>
    </w:lvl>
    <w:lvl w:ilvl="3" w:tplc="BF525ADE">
      <w:start w:val="1"/>
      <w:numFmt w:val="decimal"/>
      <w:lvlText w:val="%4."/>
      <w:lvlJc w:val="left"/>
      <w:pPr>
        <w:ind w:left="1020" w:hanging="360"/>
      </w:pPr>
    </w:lvl>
    <w:lvl w:ilvl="4" w:tplc="88209F36">
      <w:start w:val="1"/>
      <w:numFmt w:val="decimal"/>
      <w:lvlText w:val="%5."/>
      <w:lvlJc w:val="left"/>
      <w:pPr>
        <w:ind w:left="1020" w:hanging="360"/>
      </w:pPr>
    </w:lvl>
    <w:lvl w:ilvl="5" w:tplc="60C4A706">
      <w:start w:val="1"/>
      <w:numFmt w:val="decimal"/>
      <w:lvlText w:val="%6."/>
      <w:lvlJc w:val="left"/>
      <w:pPr>
        <w:ind w:left="1020" w:hanging="360"/>
      </w:pPr>
    </w:lvl>
    <w:lvl w:ilvl="6" w:tplc="3FD4FE18">
      <w:start w:val="1"/>
      <w:numFmt w:val="decimal"/>
      <w:lvlText w:val="%7."/>
      <w:lvlJc w:val="left"/>
      <w:pPr>
        <w:ind w:left="1020" w:hanging="360"/>
      </w:pPr>
    </w:lvl>
    <w:lvl w:ilvl="7" w:tplc="6DDE429C">
      <w:start w:val="1"/>
      <w:numFmt w:val="decimal"/>
      <w:lvlText w:val="%8."/>
      <w:lvlJc w:val="left"/>
      <w:pPr>
        <w:ind w:left="1020" w:hanging="360"/>
      </w:pPr>
    </w:lvl>
    <w:lvl w:ilvl="8" w:tplc="CD5863D0">
      <w:start w:val="1"/>
      <w:numFmt w:val="decimal"/>
      <w:lvlText w:val="%9."/>
      <w:lvlJc w:val="left"/>
      <w:pPr>
        <w:ind w:left="1020" w:hanging="360"/>
      </w:pPr>
    </w:lvl>
  </w:abstractNum>
  <w:abstractNum w:abstractNumId="12" w15:restartNumberingAfterBreak="0">
    <w:nsid w:val="1FFE0564"/>
    <w:multiLevelType w:val="hybridMultilevel"/>
    <w:tmpl w:val="F796F0D8"/>
    <w:lvl w:ilvl="0" w:tplc="14A0BFE0">
      <w:start w:val="1"/>
      <w:numFmt w:val="decimal"/>
      <w:lvlText w:val="%1."/>
      <w:lvlJc w:val="left"/>
      <w:pPr>
        <w:ind w:left="720" w:hanging="360"/>
      </w:pPr>
    </w:lvl>
    <w:lvl w:ilvl="1" w:tplc="6E8C7520">
      <w:start w:val="1"/>
      <w:numFmt w:val="decimal"/>
      <w:lvlText w:val="%2."/>
      <w:lvlJc w:val="left"/>
      <w:pPr>
        <w:ind w:left="720" w:hanging="360"/>
      </w:pPr>
    </w:lvl>
    <w:lvl w:ilvl="2" w:tplc="B33A5C88">
      <w:start w:val="1"/>
      <w:numFmt w:val="decimal"/>
      <w:lvlText w:val="%3."/>
      <w:lvlJc w:val="left"/>
      <w:pPr>
        <w:ind w:left="720" w:hanging="360"/>
      </w:pPr>
    </w:lvl>
    <w:lvl w:ilvl="3" w:tplc="656A298A">
      <w:start w:val="1"/>
      <w:numFmt w:val="decimal"/>
      <w:lvlText w:val="%4."/>
      <w:lvlJc w:val="left"/>
      <w:pPr>
        <w:ind w:left="720" w:hanging="360"/>
      </w:pPr>
    </w:lvl>
    <w:lvl w:ilvl="4" w:tplc="21F419B4">
      <w:start w:val="1"/>
      <w:numFmt w:val="decimal"/>
      <w:lvlText w:val="%5."/>
      <w:lvlJc w:val="left"/>
      <w:pPr>
        <w:ind w:left="720" w:hanging="360"/>
      </w:pPr>
    </w:lvl>
    <w:lvl w:ilvl="5" w:tplc="89A27632">
      <w:start w:val="1"/>
      <w:numFmt w:val="decimal"/>
      <w:lvlText w:val="%6."/>
      <w:lvlJc w:val="left"/>
      <w:pPr>
        <w:ind w:left="720" w:hanging="360"/>
      </w:pPr>
    </w:lvl>
    <w:lvl w:ilvl="6" w:tplc="CC1CD730">
      <w:start w:val="1"/>
      <w:numFmt w:val="decimal"/>
      <w:lvlText w:val="%7."/>
      <w:lvlJc w:val="left"/>
      <w:pPr>
        <w:ind w:left="720" w:hanging="360"/>
      </w:pPr>
    </w:lvl>
    <w:lvl w:ilvl="7" w:tplc="FD88D57C">
      <w:start w:val="1"/>
      <w:numFmt w:val="decimal"/>
      <w:lvlText w:val="%8."/>
      <w:lvlJc w:val="left"/>
      <w:pPr>
        <w:ind w:left="720" w:hanging="360"/>
      </w:pPr>
    </w:lvl>
    <w:lvl w:ilvl="8" w:tplc="8AA8C544">
      <w:start w:val="1"/>
      <w:numFmt w:val="decimal"/>
      <w:lvlText w:val="%9."/>
      <w:lvlJc w:val="left"/>
      <w:pPr>
        <w:ind w:left="720" w:hanging="360"/>
      </w:pPr>
    </w:lvl>
  </w:abstractNum>
  <w:abstractNum w:abstractNumId="13" w15:restartNumberingAfterBreak="0">
    <w:nsid w:val="21AC75DF"/>
    <w:multiLevelType w:val="hybridMultilevel"/>
    <w:tmpl w:val="F9560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E323A5"/>
    <w:multiLevelType w:val="hybridMultilevel"/>
    <w:tmpl w:val="55A28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C571B9"/>
    <w:multiLevelType w:val="hybridMultilevel"/>
    <w:tmpl w:val="2B327DF0"/>
    <w:lvl w:ilvl="0" w:tplc="F9642D74">
      <w:start w:val="1"/>
      <w:numFmt w:val="decimal"/>
      <w:lvlText w:val="%1."/>
      <w:lvlJc w:val="left"/>
      <w:pPr>
        <w:ind w:left="1020" w:hanging="360"/>
      </w:pPr>
    </w:lvl>
    <w:lvl w:ilvl="1" w:tplc="28A80B1E">
      <w:start w:val="1"/>
      <w:numFmt w:val="decimal"/>
      <w:lvlText w:val="%2."/>
      <w:lvlJc w:val="left"/>
      <w:pPr>
        <w:ind w:left="1020" w:hanging="360"/>
      </w:pPr>
    </w:lvl>
    <w:lvl w:ilvl="2" w:tplc="D35624B0">
      <w:start w:val="1"/>
      <w:numFmt w:val="decimal"/>
      <w:lvlText w:val="%3."/>
      <w:lvlJc w:val="left"/>
      <w:pPr>
        <w:ind w:left="1020" w:hanging="360"/>
      </w:pPr>
    </w:lvl>
    <w:lvl w:ilvl="3" w:tplc="015EC34A">
      <w:start w:val="1"/>
      <w:numFmt w:val="decimal"/>
      <w:lvlText w:val="%4."/>
      <w:lvlJc w:val="left"/>
      <w:pPr>
        <w:ind w:left="1020" w:hanging="360"/>
      </w:pPr>
    </w:lvl>
    <w:lvl w:ilvl="4" w:tplc="8BA81504">
      <w:start w:val="1"/>
      <w:numFmt w:val="decimal"/>
      <w:lvlText w:val="%5."/>
      <w:lvlJc w:val="left"/>
      <w:pPr>
        <w:ind w:left="1020" w:hanging="360"/>
      </w:pPr>
    </w:lvl>
    <w:lvl w:ilvl="5" w:tplc="AE50E14C">
      <w:start w:val="1"/>
      <w:numFmt w:val="decimal"/>
      <w:lvlText w:val="%6."/>
      <w:lvlJc w:val="left"/>
      <w:pPr>
        <w:ind w:left="1020" w:hanging="360"/>
      </w:pPr>
    </w:lvl>
    <w:lvl w:ilvl="6" w:tplc="B9DA7664">
      <w:start w:val="1"/>
      <w:numFmt w:val="decimal"/>
      <w:lvlText w:val="%7."/>
      <w:lvlJc w:val="left"/>
      <w:pPr>
        <w:ind w:left="1020" w:hanging="360"/>
      </w:pPr>
    </w:lvl>
    <w:lvl w:ilvl="7" w:tplc="45D68C2A">
      <w:start w:val="1"/>
      <w:numFmt w:val="decimal"/>
      <w:lvlText w:val="%8."/>
      <w:lvlJc w:val="left"/>
      <w:pPr>
        <w:ind w:left="1020" w:hanging="360"/>
      </w:pPr>
    </w:lvl>
    <w:lvl w:ilvl="8" w:tplc="B7D4D71C">
      <w:start w:val="1"/>
      <w:numFmt w:val="decimal"/>
      <w:lvlText w:val="%9."/>
      <w:lvlJc w:val="left"/>
      <w:pPr>
        <w:ind w:left="1020" w:hanging="360"/>
      </w:pPr>
    </w:lvl>
  </w:abstractNum>
  <w:abstractNum w:abstractNumId="16" w15:restartNumberingAfterBreak="0">
    <w:nsid w:val="24C024E1"/>
    <w:multiLevelType w:val="hybridMultilevel"/>
    <w:tmpl w:val="0B5E6BA8"/>
    <w:lvl w:ilvl="0" w:tplc="AA9A7264">
      <w:start w:val="1"/>
      <w:numFmt w:val="decimal"/>
      <w:lvlText w:val="%1."/>
      <w:lvlJc w:val="left"/>
      <w:pPr>
        <w:ind w:left="1020" w:hanging="360"/>
      </w:pPr>
    </w:lvl>
    <w:lvl w:ilvl="1" w:tplc="09D6CF0C">
      <w:start w:val="1"/>
      <w:numFmt w:val="decimal"/>
      <w:lvlText w:val="%2."/>
      <w:lvlJc w:val="left"/>
      <w:pPr>
        <w:ind w:left="1020" w:hanging="360"/>
      </w:pPr>
    </w:lvl>
    <w:lvl w:ilvl="2" w:tplc="8E74A35A">
      <w:start w:val="1"/>
      <w:numFmt w:val="decimal"/>
      <w:lvlText w:val="%3."/>
      <w:lvlJc w:val="left"/>
      <w:pPr>
        <w:ind w:left="1020" w:hanging="360"/>
      </w:pPr>
    </w:lvl>
    <w:lvl w:ilvl="3" w:tplc="2676CC28">
      <w:start w:val="1"/>
      <w:numFmt w:val="decimal"/>
      <w:lvlText w:val="%4."/>
      <w:lvlJc w:val="left"/>
      <w:pPr>
        <w:ind w:left="1020" w:hanging="360"/>
      </w:pPr>
    </w:lvl>
    <w:lvl w:ilvl="4" w:tplc="A288A442">
      <w:start w:val="1"/>
      <w:numFmt w:val="decimal"/>
      <w:lvlText w:val="%5."/>
      <w:lvlJc w:val="left"/>
      <w:pPr>
        <w:ind w:left="1020" w:hanging="360"/>
      </w:pPr>
    </w:lvl>
    <w:lvl w:ilvl="5" w:tplc="F9D02A8E">
      <w:start w:val="1"/>
      <w:numFmt w:val="decimal"/>
      <w:lvlText w:val="%6."/>
      <w:lvlJc w:val="left"/>
      <w:pPr>
        <w:ind w:left="1020" w:hanging="360"/>
      </w:pPr>
    </w:lvl>
    <w:lvl w:ilvl="6" w:tplc="FD36A920">
      <w:start w:val="1"/>
      <w:numFmt w:val="decimal"/>
      <w:lvlText w:val="%7."/>
      <w:lvlJc w:val="left"/>
      <w:pPr>
        <w:ind w:left="1020" w:hanging="360"/>
      </w:pPr>
    </w:lvl>
    <w:lvl w:ilvl="7" w:tplc="CC74FF00">
      <w:start w:val="1"/>
      <w:numFmt w:val="decimal"/>
      <w:lvlText w:val="%8."/>
      <w:lvlJc w:val="left"/>
      <w:pPr>
        <w:ind w:left="1020" w:hanging="360"/>
      </w:pPr>
    </w:lvl>
    <w:lvl w:ilvl="8" w:tplc="5F0CDFA2">
      <w:start w:val="1"/>
      <w:numFmt w:val="decimal"/>
      <w:lvlText w:val="%9."/>
      <w:lvlJc w:val="left"/>
      <w:pPr>
        <w:ind w:left="1020" w:hanging="360"/>
      </w:pPr>
    </w:lvl>
  </w:abstractNum>
  <w:abstractNum w:abstractNumId="17" w15:restartNumberingAfterBreak="0">
    <w:nsid w:val="26066A06"/>
    <w:multiLevelType w:val="hybridMultilevel"/>
    <w:tmpl w:val="79AE71A2"/>
    <w:lvl w:ilvl="0" w:tplc="F1DACB4C">
      <w:start w:val="1"/>
      <w:numFmt w:val="decimal"/>
      <w:lvlText w:val="%1."/>
      <w:lvlJc w:val="left"/>
      <w:pPr>
        <w:ind w:left="720" w:hanging="360"/>
      </w:pPr>
    </w:lvl>
    <w:lvl w:ilvl="1" w:tplc="AFB41B52">
      <w:start w:val="1"/>
      <w:numFmt w:val="decimal"/>
      <w:lvlText w:val="%2."/>
      <w:lvlJc w:val="left"/>
      <w:pPr>
        <w:ind w:left="720" w:hanging="360"/>
      </w:pPr>
    </w:lvl>
    <w:lvl w:ilvl="2" w:tplc="94727792">
      <w:start w:val="1"/>
      <w:numFmt w:val="decimal"/>
      <w:lvlText w:val="%3."/>
      <w:lvlJc w:val="left"/>
      <w:pPr>
        <w:ind w:left="720" w:hanging="360"/>
      </w:pPr>
    </w:lvl>
    <w:lvl w:ilvl="3" w:tplc="8A94F412">
      <w:start w:val="1"/>
      <w:numFmt w:val="decimal"/>
      <w:lvlText w:val="%4."/>
      <w:lvlJc w:val="left"/>
      <w:pPr>
        <w:ind w:left="720" w:hanging="360"/>
      </w:pPr>
    </w:lvl>
    <w:lvl w:ilvl="4" w:tplc="EFDEDCE0">
      <w:start w:val="1"/>
      <w:numFmt w:val="decimal"/>
      <w:lvlText w:val="%5."/>
      <w:lvlJc w:val="left"/>
      <w:pPr>
        <w:ind w:left="720" w:hanging="360"/>
      </w:pPr>
    </w:lvl>
    <w:lvl w:ilvl="5" w:tplc="024202A0">
      <w:start w:val="1"/>
      <w:numFmt w:val="decimal"/>
      <w:lvlText w:val="%6."/>
      <w:lvlJc w:val="left"/>
      <w:pPr>
        <w:ind w:left="720" w:hanging="360"/>
      </w:pPr>
    </w:lvl>
    <w:lvl w:ilvl="6" w:tplc="F42284F6">
      <w:start w:val="1"/>
      <w:numFmt w:val="decimal"/>
      <w:lvlText w:val="%7."/>
      <w:lvlJc w:val="left"/>
      <w:pPr>
        <w:ind w:left="720" w:hanging="360"/>
      </w:pPr>
    </w:lvl>
    <w:lvl w:ilvl="7" w:tplc="74C87BE8">
      <w:start w:val="1"/>
      <w:numFmt w:val="decimal"/>
      <w:lvlText w:val="%8."/>
      <w:lvlJc w:val="left"/>
      <w:pPr>
        <w:ind w:left="720" w:hanging="360"/>
      </w:pPr>
    </w:lvl>
    <w:lvl w:ilvl="8" w:tplc="E79263B0">
      <w:start w:val="1"/>
      <w:numFmt w:val="decimal"/>
      <w:lvlText w:val="%9."/>
      <w:lvlJc w:val="left"/>
      <w:pPr>
        <w:ind w:left="720" w:hanging="360"/>
      </w:pPr>
    </w:lvl>
  </w:abstractNum>
  <w:abstractNum w:abstractNumId="18" w15:restartNumberingAfterBreak="0">
    <w:nsid w:val="2F9D63E2"/>
    <w:multiLevelType w:val="hybridMultilevel"/>
    <w:tmpl w:val="989AF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282D1B"/>
    <w:multiLevelType w:val="hybridMultilevel"/>
    <w:tmpl w:val="4EDE2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4707BD"/>
    <w:multiLevelType w:val="hybridMultilevel"/>
    <w:tmpl w:val="1A245422"/>
    <w:lvl w:ilvl="0" w:tplc="EF88D1A0">
      <w:start w:val="1"/>
      <w:numFmt w:val="decimal"/>
      <w:lvlText w:val="%1."/>
      <w:lvlJc w:val="left"/>
      <w:pPr>
        <w:ind w:left="1020" w:hanging="360"/>
      </w:pPr>
    </w:lvl>
    <w:lvl w:ilvl="1" w:tplc="74927D38">
      <w:start w:val="1"/>
      <w:numFmt w:val="decimal"/>
      <w:lvlText w:val="%2."/>
      <w:lvlJc w:val="left"/>
      <w:pPr>
        <w:ind w:left="1020" w:hanging="360"/>
      </w:pPr>
    </w:lvl>
    <w:lvl w:ilvl="2" w:tplc="5010D5CA">
      <w:start w:val="1"/>
      <w:numFmt w:val="decimal"/>
      <w:lvlText w:val="%3."/>
      <w:lvlJc w:val="left"/>
      <w:pPr>
        <w:ind w:left="1020" w:hanging="360"/>
      </w:pPr>
    </w:lvl>
    <w:lvl w:ilvl="3" w:tplc="2FB4580A">
      <w:start w:val="1"/>
      <w:numFmt w:val="decimal"/>
      <w:lvlText w:val="%4."/>
      <w:lvlJc w:val="left"/>
      <w:pPr>
        <w:ind w:left="1020" w:hanging="360"/>
      </w:pPr>
    </w:lvl>
    <w:lvl w:ilvl="4" w:tplc="ED1E38C8">
      <w:start w:val="1"/>
      <w:numFmt w:val="decimal"/>
      <w:lvlText w:val="%5."/>
      <w:lvlJc w:val="left"/>
      <w:pPr>
        <w:ind w:left="1020" w:hanging="360"/>
      </w:pPr>
    </w:lvl>
    <w:lvl w:ilvl="5" w:tplc="A0823B2E">
      <w:start w:val="1"/>
      <w:numFmt w:val="decimal"/>
      <w:lvlText w:val="%6."/>
      <w:lvlJc w:val="left"/>
      <w:pPr>
        <w:ind w:left="1020" w:hanging="360"/>
      </w:pPr>
    </w:lvl>
    <w:lvl w:ilvl="6" w:tplc="DE46D286">
      <w:start w:val="1"/>
      <w:numFmt w:val="decimal"/>
      <w:lvlText w:val="%7."/>
      <w:lvlJc w:val="left"/>
      <w:pPr>
        <w:ind w:left="1020" w:hanging="360"/>
      </w:pPr>
    </w:lvl>
    <w:lvl w:ilvl="7" w:tplc="13CCCD40">
      <w:start w:val="1"/>
      <w:numFmt w:val="decimal"/>
      <w:lvlText w:val="%8."/>
      <w:lvlJc w:val="left"/>
      <w:pPr>
        <w:ind w:left="1020" w:hanging="360"/>
      </w:pPr>
    </w:lvl>
    <w:lvl w:ilvl="8" w:tplc="C92AC70A">
      <w:start w:val="1"/>
      <w:numFmt w:val="decimal"/>
      <w:lvlText w:val="%9."/>
      <w:lvlJc w:val="left"/>
      <w:pPr>
        <w:ind w:left="1020" w:hanging="360"/>
      </w:pPr>
    </w:lvl>
  </w:abstractNum>
  <w:abstractNum w:abstractNumId="21" w15:restartNumberingAfterBreak="0">
    <w:nsid w:val="36B339CE"/>
    <w:multiLevelType w:val="hybridMultilevel"/>
    <w:tmpl w:val="A3C408B0"/>
    <w:lvl w:ilvl="0" w:tplc="C5F4935E">
      <w:start w:val="1"/>
      <w:numFmt w:val="decimal"/>
      <w:lvlText w:val="%1."/>
      <w:lvlJc w:val="left"/>
      <w:pPr>
        <w:ind w:left="720" w:hanging="360"/>
      </w:pPr>
    </w:lvl>
    <w:lvl w:ilvl="1" w:tplc="0860B2F6">
      <w:start w:val="1"/>
      <w:numFmt w:val="decimal"/>
      <w:lvlText w:val="%2."/>
      <w:lvlJc w:val="left"/>
      <w:pPr>
        <w:ind w:left="720" w:hanging="360"/>
      </w:pPr>
    </w:lvl>
    <w:lvl w:ilvl="2" w:tplc="2A487B90">
      <w:start w:val="1"/>
      <w:numFmt w:val="decimal"/>
      <w:lvlText w:val="%3."/>
      <w:lvlJc w:val="left"/>
      <w:pPr>
        <w:ind w:left="720" w:hanging="360"/>
      </w:pPr>
    </w:lvl>
    <w:lvl w:ilvl="3" w:tplc="B5B45698">
      <w:start w:val="1"/>
      <w:numFmt w:val="decimal"/>
      <w:lvlText w:val="%4."/>
      <w:lvlJc w:val="left"/>
      <w:pPr>
        <w:ind w:left="720" w:hanging="360"/>
      </w:pPr>
    </w:lvl>
    <w:lvl w:ilvl="4" w:tplc="6FE085B4">
      <w:start w:val="1"/>
      <w:numFmt w:val="decimal"/>
      <w:lvlText w:val="%5."/>
      <w:lvlJc w:val="left"/>
      <w:pPr>
        <w:ind w:left="720" w:hanging="360"/>
      </w:pPr>
    </w:lvl>
    <w:lvl w:ilvl="5" w:tplc="D1704C28">
      <w:start w:val="1"/>
      <w:numFmt w:val="decimal"/>
      <w:lvlText w:val="%6."/>
      <w:lvlJc w:val="left"/>
      <w:pPr>
        <w:ind w:left="720" w:hanging="360"/>
      </w:pPr>
    </w:lvl>
    <w:lvl w:ilvl="6" w:tplc="0CAA3AAA">
      <w:start w:val="1"/>
      <w:numFmt w:val="decimal"/>
      <w:lvlText w:val="%7."/>
      <w:lvlJc w:val="left"/>
      <w:pPr>
        <w:ind w:left="720" w:hanging="360"/>
      </w:pPr>
    </w:lvl>
    <w:lvl w:ilvl="7" w:tplc="19146DE0">
      <w:start w:val="1"/>
      <w:numFmt w:val="decimal"/>
      <w:lvlText w:val="%8."/>
      <w:lvlJc w:val="left"/>
      <w:pPr>
        <w:ind w:left="720" w:hanging="360"/>
      </w:pPr>
    </w:lvl>
    <w:lvl w:ilvl="8" w:tplc="9470FFCA">
      <w:start w:val="1"/>
      <w:numFmt w:val="decimal"/>
      <w:lvlText w:val="%9."/>
      <w:lvlJc w:val="left"/>
      <w:pPr>
        <w:ind w:left="720" w:hanging="360"/>
      </w:pPr>
    </w:lvl>
  </w:abstractNum>
  <w:abstractNum w:abstractNumId="22" w15:restartNumberingAfterBreak="0">
    <w:nsid w:val="39BF2005"/>
    <w:multiLevelType w:val="hybridMultilevel"/>
    <w:tmpl w:val="E326E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F94DD8"/>
    <w:multiLevelType w:val="hybridMultilevel"/>
    <w:tmpl w:val="4D925218"/>
    <w:lvl w:ilvl="0" w:tplc="BA54BF02">
      <w:start w:val="1"/>
      <w:numFmt w:val="decimal"/>
      <w:lvlText w:val="%1."/>
      <w:lvlJc w:val="left"/>
      <w:pPr>
        <w:ind w:left="720" w:hanging="360"/>
      </w:pPr>
    </w:lvl>
    <w:lvl w:ilvl="1" w:tplc="5ADC11E2">
      <w:start w:val="1"/>
      <w:numFmt w:val="decimal"/>
      <w:lvlText w:val="%2."/>
      <w:lvlJc w:val="left"/>
      <w:pPr>
        <w:ind w:left="720" w:hanging="360"/>
      </w:pPr>
    </w:lvl>
    <w:lvl w:ilvl="2" w:tplc="7764AE00">
      <w:start w:val="1"/>
      <w:numFmt w:val="decimal"/>
      <w:lvlText w:val="%3."/>
      <w:lvlJc w:val="left"/>
      <w:pPr>
        <w:ind w:left="720" w:hanging="360"/>
      </w:pPr>
    </w:lvl>
    <w:lvl w:ilvl="3" w:tplc="BB40079C">
      <w:start w:val="1"/>
      <w:numFmt w:val="decimal"/>
      <w:lvlText w:val="%4."/>
      <w:lvlJc w:val="left"/>
      <w:pPr>
        <w:ind w:left="720" w:hanging="360"/>
      </w:pPr>
    </w:lvl>
    <w:lvl w:ilvl="4" w:tplc="6D70C97C">
      <w:start w:val="1"/>
      <w:numFmt w:val="decimal"/>
      <w:lvlText w:val="%5."/>
      <w:lvlJc w:val="left"/>
      <w:pPr>
        <w:ind w:left="720" w:hanging="360"/>
      </w:pPr>
    </w:lvl>
    <w:lvl w:ilvl="5" w:tplc="24F07318">
      <w:start w:val="1"/>
      <w:numFmt w:val="decimal"/>
      <w:lvlText w:val="%6."/>
      <w:lvlJc w:val="left"/>
      <w:pPr>
        <w:ind w:left="720" w:hanging="360"/>
      </w:pPr>
    </w:lvl>
    <w:lvl w:ilvl="6" w:tplc="DA1C1584">
      <w:start w:val="1"/>
      <w:numFmt w:val="decimal"/>
      <w:lvlText w:val="%7."/>
      <w:lvlJc w:val="left"/>
      <w:pPr>
        <w:ind w:left="720" w:hanging="360"/>
      </w:pPr>
    </w:lvl>
    <w:lvl w:ilvl="7" w:tplc="B554DD16">
      <w:start w:val="1"/>
      <w:numFmt w:val="decimal"/>
      <w:lvlText w:val="%8."/>
      <w:lvlJc w:val="left"/>
      <w:pPr>
        <w:ind w:left="720" w:hanging="360"/>
      </w:pPr>
    </w:lvl>
    <w:lvl w:ilvl="8" w:tplc="18C48068">
      <w:start w:val="1"/>
      <w:numFmt w:val="decimal"/>
      <w:lvlText w:val="%9."/>
      <w:lvlJc w:val="left"/>
      <w:pPr>
        <w:ind w:left="720" w:hanging="360"/>
      </w:pPr>
    </w:lvl>
  </w:abstractNum>
  <w:abstractNum w:abstractNumId="24" w15:restartNumberingAfterBreak="0">
    <w:nsid w:val="3C721219"/>
    <w:multiLevelType w:val="hybridMultilevel"/>
    <w:tmpl w:val="E648DB02"/>
    <w:lvl w:ilvl="0" w:tplc="7A548E8C">
      <w:start w:val="1"/>
      <w:numFmt w:val="decimal"/>
      <w:lvlText w:val="%1."/>
      <w:lvlJc w:val="left"/>
      <w:pPr>
        <w:ind w:left="1020" w:hanging="360"/>
      </w:pPr>
    </w:lvl>
    <w:lvl w:ilvl="1" w:tplc="FB44EA48">
      <w:start w:val="1"/>
      <w:numFmt w:val="decimal"/>
      <w:lvlText w:val="%2."/>
      <w:lvlJc w:val="left"/>
      <w:pPr>
        <w:ind w:left="1020" w:hanging="360"/>
      </w:pPr>
    </w:lvl>
    <w:lvl w:ilvl="2" w:tplc="8C40FB8C">
      <w:start w:val="1"/>
      <w:numFmt w:val="decimal"/>
      <w:lvlText w:val="%3."/>
      <w:lvlJc w:val="left"/>
      <w:pPr>
        <w:ind w:left="1020" w:hanging="360"/>
      </w:pPr>
    </w:lvl>
    <w:lvl w:ilvl="3" w:tplc="E6E2F8F6">
      <w:start w:val="1"/>
      <w:numFmt w:val="decimal"/>
      <w:lvlText w:val="%4."/>
      <w:lvlJc w:val="left"/>
      <w:pPr>
        <w:ind w:left="1020" w:hanging="360"/>
      </w:pPr>
    </w:lvl>
    <w:lvl w:ilvl="4" w:tplc="7FA0A328">
      <w:start w:val="1"/>
      <w:numFmt w:val="decimal"/>
      <w:lvlText w:val="%5."/>
      <w:lvlJc w:val="left"/>
      <w:pPr>
        <w:ind w:left="1020" w:hanging="360"/>
      </w:pPr>
    </w:lvl>
    <w:lvl w:ilvl="5" w:tplc="D688A60E">
      <w:start w:val="1"/>
      <w:numFmt w:val="decimal"/>
      <w:lvlText w:val="%6."/>
      <w:lvlJc w:val="left"/>
      <w:pPr>
        <w:ind w:left="1020" w:hanging="360"/>
      </w:pPr>
    </w:lvl>
    <w:lvl w:ilvl="6" w:tplc="F404052C">
      <w:start w:val="1"/>
      <w:numFmt w:val="decimal"/>
      <w:lvlText w:val="%7."/>
      <w:lvlJc w:val="left"/>
      <w:pPr>
        <w:ind w:left="1020" w:hanging="360"/>
      </w:pPr>
    </w:lvl>
    <w:lvl w:ilvl="7" w:tplc="BBDC9128">
      <w:start w:val="1"/>
      <w:numFmt w:val="decimal"/>
      <w:lvlText w:val="%8."/>
      <w:lvlJc w:val="left"/>
      <w:pPr>
        <w:ind w:left="1020" w:hanging="360"/>
      </w:pPr>
    </w:lvl>
    <w:lvl w:ilvl="8" w:tplc="143CB2E4">
      <w:start w:val="1"/>
      <w:numFmt w:val="decimal"/>
      <w:lvlText w:val="%9."/>
      <w:lvlJc w:val="left"/>
      <w:pPr>
        <w:ind w:left="1020" w:hanging="360"/>
      </w:pPr>
    </w:lvl>
  </w:abstractNum>
  <w:abstractNum w:abstractNumId="25" w15:restartNumberingAfterBreak="0">
    <w:nsid w:val="3E0C00F9"/>
    <w:multiLevelType w:val="hybridMultilevel"/>
    <w:tmpl w:val="2358558C"/>
    <w:lvl w:ilvl="0" w:tplc="67BC1126">
      <w:start w:val="1"/>
      <w:numFmt w:val="decimal"/>
      <w:lvlText w:val="%1."/>
      <w:lvlJc w:val="left"/>
      <w:pPr>
        <w:ind w:left="720" w:hanging="360"/>
      </w:pPr>
    </w:lvl>
    <w:lvl w:ilvl="1" w:tplc="24262BF0">
      <w:start w:val="1"/>
      <w:numFmt w:val="decimal"/>
      <w:lvlText w:val="%2."/>
      <w:lvlJc w:val="left"/>
      <w:pPr>
        <w:ind w:left="720" w:hanging="360"/>
      </w:pPr>
    </w:lvl>
    <w:lvl w:ilvl="2" w:tplc="D9F067DC">
      <w:start w:val="1"/>
      <w:numFmt w:val="decimal"/>
      <w:lvlText w:val="%3."/>
      <w:lvlJc w:val="left"/>
      <w:pPr>
        <w:ind w:left="720" w:hanging="360"/>
      </w:pPr>
    </w:lvl>
    <w:lvl w:ilvl="3" w:tplc="FECA28C0">
      <w:start w:val="1"/>
      <w:numFmt w:val="decimal"/>
      <w:lvlText w:val="%4."/>
      <w:lvlJc w:val="left"/>
      <w:pPr>
        <w:ind w:left="720" w:hanging="360"/>
      </w:pPr>
    </w:lvl>
    <w:lvl w:ilvl="4" w:tplc="A8461896">
      <w:start w:val="1"/>
      <w:numFmt w:val="decimal"/>
      <w:lvlText w:val="%5."/>
      <w:lvlJc w:val="left"/>
      <w:pPr>
        <w:ind w:left="720" w:hanging="360"/>
      </w:pPr>
    </w:lvl>
    <w:lvl w:ilvl="5" w:tplc="89888FA6">
      <w:start w:val="1"/>
      <w:numFmt w:val="decimal"/>
      <w:lvlText w:val="%6."/>
      <w:lvlJc w:val="left"/>
      <w:pPr>
        <w:ind w:left="720" w:hanging="360"/>
      </w:pPr>
    </w:lvl>
    <w:lvl w:ilvl="6" w:tplc="4FB07294">
      <w:start w:val="1"/>
      <w:numFmt w:val="decimal"/>
      <w:lvlText w:val="%7."/>
      <w:lvlJc w:val="left"/>
      <w:pPr>
        <w:ind w:left="720" w:hanging="360"/>
      </w:pPr>
    </w:lvl>
    <w:lvl w:ilvl="7" w:tplc="FDC61B0C">
      <w:start w:val="1"/>
      <w:numFmt w:val="decimal"/>
      <w:lvlText w:val="%8."/>
      <w:lvlJc w:val="left"/>
      <w:pPr>
        <w:ind w:left="720" w:hanging="360"/>
      </w:pPr>
    </w:lvl>
    <w:lvl w:ilvl="8" w:tplc="0BBA63EC">
      <w:start w:val="1"/>
      <w:numFmt w:val="decimal"/>
      <w:lvlText w:val="%9."/>
      <w:lvlJc w:val="left"/>
      <w:pPr>
        <w:ind w:left="720" w:hanging="360"/>
      </w:pPr>
    </w:lvl>
  </w:abstractNum>
  <w:abstractNum w:abstractNumId="26" w15:restartNumberingAfterBreak="0">
    <w:nsid w:val="407D3C38"/>
    <w:multiLevelType w:val="hybridMultilevel"/>
    <w:tmpl w:val="05F61F40"/>
    <w:lvl w:ilvl="0" w:tplc="407672F8">
      <w:start w:val="1"/>
      <w:numFmt w:val="decimal"/>
      <w:lvlText w:val="%1."/>
      <w:lvlJc w:val="left"/>
      <w:pPr>
        <w:ind w:left="1020" w:hanging="360"/>
      </w:pPr>
    </w:lvl>
    <w:lvl w:ilvl="1" w:tplc="2B8A9CFE">
      <w:start w:val="1"/>
      <w:numFmt w:val="decimal"/>
      <w:lvlText w:val="%2."/>
      <w:lvlJc w:val="left"/>
      <w:pPr>
        <w:ind w:left="1020" w:hanging="360"/>
      </w:pPr>
    </w:lvl>
    <w:lvl w:ilvl="2" w:tplc="3F9C8E66">
      <w:start w:val="1"/>
      <w:numFmt w:val="decimal"/>
      <w:lvlText w:val="%3."/>
      <w:lvlJc w:val="left"/>
      <w:pPr>
        <w:ind w:left="1020" w:hanging="360"/>
      </w:pPr>
    </w:lvl>
    <w:lvl w:ilvl="3" w:tplc="41F834FA">
      <w:start w:val="1"/>
      <w:numFmt w:val="decimal"/>
      <w:lvlText w:val="%4."/>
      <w:lvlJc w:val="left"/>
      <w:pPr>
        <w:ind w:left="1020" w:hanging="360"/>
      </w:pPr>
    </w:lvl>
    <w:lvl w:ilvl="4" w:tplc="B170873A">
      <w:start w:val="1"/>
      <w:numFmt w:val="decimal"/>
      <w:lvlText w:val="%5."/>
      <w:lvlJc w:val="left"/>
      <w:pPr>
        <w:ind w:left="1020" w:hanging="360"/>
      </w:pPr>
    </w:lvl>
    <w:lvl w:ilvl="5" w:tplc="302C9224">
      <w:start w:val="1"/>
      <w:numFmt w:val="decimal"/>
      <w:lvlText w:val="%6."/>
      <w:lvlJc w:val="left"/>
      <w:pPr>
        <w:ind w:left="1020" w:hanging="360"/>
      </w:pPr>
    </w:lvl>
    <w:lvl w:ilvl="6" w:tplc="F96A12A8">
      <w:start w:val="1"/>
      <w:numFmt w:val="decimal"/>
      <w:lvlText w:val="%7."/>
      <w:lvlJc w:val="left"/>
      <w:pPr>
        <w:ind w:left="1020" w:hanging="360"/>
      </w:pPr>
    </w:lvl>
    <w:lvl w:ilvl="7" w:tplc="185A9FC6">
      <w:start w:val="1"/>
      <w:numFmt w:val="decimal"/>
      <w:lvlText w:val="%8."/>
      <w:lvlJc w:val="left"/>
      <w:pPr>
        <w:ind w:left="1020" w:hanging="360"/>
      </w:pPr>
    </w:lvl>
    <w:lvl w:ilvl="8" w:tplc="156A0536">
      <w:start w:val="1"/>
      <w:numFmt w:val="decimal"/>
      <w:lvlText w:val="%9."/>
      <w:lvlJc w:val="left"/>
      <w:pPr>
        <w:ind w:left="1020" w:hanging="360"/>
      </w:pPr>
    </w:lvl>
  </w:abstractNum>
  <w:abstractNum w:abstractNumId="27" w15:restartNumberingAfterBreak="0">
    <w:nsid w:val="40BE7C41"/>
    <w:multiLevelType w:val="hybridMultilevel"/>
    <w:tmpl w:val="DCC65B52"/>
    <w:lvl w:ilvl="0" w:tplc="A7E0DE6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14122D4"/>
    <w:multiLevelType w:val="hybridMultilevel"/>
    <w:tmpl w:val="B7269E28"/>
    <w:lvl w:ilvl="0" w:tplc="D22C6B4C">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C17C1B"/>
    <w:multiLevelType w:val="hybridMultilevel"/>
    <w:tmpl w:val="47EEEF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15098A"/>
    <w:multiLevelType w:val="hybridMultilevel"/>
    <w:tmpl w:val="FFB094C4"/>
    <w:lvl w:ilvl="0" w:tplc="F0822A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FB50F1"/>
    <w:multiLevelType w:val="hybridMultilevel"/>
    <w:tmpl w:val="E56AB772"/>
    <w:lvl w:ilvl="0" w:tplc="44363306">
      <w:start w:val="1"/>
      <w:numFmt w:val="lowerLetter"/>
      <w:lvlText w:val="%1."/>
      <w:lvlJc w:val="left"/>
      <w:pPr>
        <w:ind w:left="720" w:hanging="360"/>
      </w:pPr>
    </w:lvl>
    <w:lvl w:ilvl="1" w:tplc="C6F40F2E">
      <w:start w:val="1"/>
      <w:numFmt w:val="lowerLetter"/>
      <w:lvlText w:val="%2."/>
      <w:lvlJc w:val="left"/>
      <w:pPr>
        <w:ind w:left="720" w:hanging="360"/>
      </w:pPr>
    </w:lvl>
    <w:lvl w:ilvl="2" w:tplc="D570E666">
      <w:start w:val="1"/>
      <w:numFmt w:val="lowerLetter"/>
      <w:lvlText w:val="%3."/>
      <w:lvlJc w:val="left"/>
      <w:pPr>
        <w:ind w:left="720" w:hanging="360"/>
      </w:pPr>
    </w:lvl>
    <w:lvl w:ilvl="3" w:tplc="8C787ED0">
      <w:start w:val="1"/>
      <w:numFmt w:val="lowerLetter"/>
      <w:lvlText w:val="%4."/>
      <w:lvlJc w:val="left"/>
      <w:pPr>
        <w:ind w:left="720" w:hanging="360"/>
      </w:pPr>
    </w:lvl>
    <w:lvl w:ilvl="4" w:tplc="744893BA">
      <w:start w:val="1"/>
      <w:numFmt w:val="lowerLetter"/>
      <w:lvlText w:val="%5."/>
      <w:lvlJc w:val="left"/>
      <w:pPr>
        <w:ind w:left="720" w:hanging="360"/>
      </w:pPr>
    </w:lvl>
    <w:lvl w:ilvl="5" w:tplc="D472A6C0">
      <w:start w:val="1"/>
      <w:numFmt w:val="lowerLetter"/>
      <w:lvlText w:val="%6."/>
      <w:lvlJc w:val="left"/>
      <w:pPr>
        <w:ind w:left="720" w:hanging="360"/>
      </w:pPr>
    </w:lvl>
    <w:lvl w:ilvl="6" w:tplc="80F0DFE8">
      <w:start w:val="1"/>
      <w:numFmt w:val="lowerLetter"/>
      <w:lvlText w:val="%7."/>
      <w:lvlJc w:val="left"/>
      <w:pPr>
        <w:ind w:left="720" w:hanging="360"/>
      </w:pPr>
    </w:lvl>
    <w:lvl w:ilvl="7" w:tplc="8BC6BC02">
      <w:start w:val="1"/>
      <w:numFmt w:val="lowerLetter"/>
      <w:lvlText w:val="%8."/>
      <w:lvlJc w:val="left"/>
      <w:pPr>
        <w:ind w:left="720" w:hanging="360"/>
      </w:pPr>
    </w:lvl>
    <w:lvl w:ilvl="8" w:tplc="5156A9C0">
      <w:start w:val="1"/>
      <w:numFmt w:val="lowerLetter"/>
      <w:lvlText w:val="%9."/>
      <w:lvlJc w:val="left"/>
      <w:pPr>
        <w:ind w:left="720" w:hanging="360"/>
      </w:pPr>
    </w:lvl>
  </w:abstractNum>
  <w:abstractNum w:abstractNumId="32" w15:restartNumberingAfterBreak="0">
    <w:nsid w:val="54601C7F"/>
    <w:multiLevelType w:val="hybridMultilevel"/>
    <w:tmpl w:val="B61AB4F8"/>
    <w:lvl w:ilvl="0" w:tplc="2CCE3630">
      <w:start w:val="1"/>
      <w:numFmt w:val="decimal"/>
      <w:lvlText w:val="%1."/>
      <w:lvlJc w:val="left"/>
      <w:pPr>
        <w:ind w:left="720" w:hanging="360"/>
      </w:pPr>
    </w:lvl>
    <w:lvl w:ilvl="1" w:tplc="44A4C28A">
      <w:start w:val="1"/>
      <w:numFmt w:val="decimal"/>
      <w:lvlText w:val="%2."/>
      <w:lvlJc w:val="left"/>
      <w:pPr>
        <w:ind w:left="720" w:hanging="360"/>
      </w:pPr>
    </w:lvl>
    <w:lvl w:ilvl="2" w:tplc="B0AC2CB0">
      <w:start w:val="1"/>
      <w:numFmt w:val="decimal"/>
      <w:lvlText w:val="%3."/>
      <w:lvlJc w:val="left"/>
      <w:pPr>
        <w:ind w:left="720" w:hanging="360"/>
      </w:pPr>
    </w:lvl>
    <w:lvl w:ilvl="3" w:tplc="E5E65FE6">
      <w:start w:val="1"/>
      <w:numFmt w:val="decimal"/>
      <w:lvlText w:val="%4."/>
      <w:lvlJc w:val="left"/>
      <w:pPr>
        <w:ind w:left="720" w:hanging="360"/>
      </w:pPr>
    </w:lvl>
    <w:lvl w:ilvl="4" w:tplc="904C28B4">
      <w:start w:val="1"/>
      <w:numFmt w:val="decimal"/>
      <w:lvlText w:val="%5."/>
      <w:lvlJc w:val="left"/>
      <w:pPr>
        <w:ind w:left="720" w:hanging="360"/>
      </w:pPr>
    </w:lvl>
    <w:lvl w:ilvl="5" w:tplc="E28829E6">
      <w:start w:val="1"/>
      <w:numFmt w:val="decimal"/>
      <w:lvlText w:val="%6."/>
      <w:lvlJc w:val="left"/>
      <w:pPr>
        <w:ind w:left="720" w:hanging="360"/>
      </w:pPr>
    </w:lvl>
    <w:lvl w:ilvl="6" w:tplc="EA986C64">
      <w:start w:val="1"/>
      <w:numFmt w:val="decimal"/>
      <w:lvlText w:val="%7."/>
      <w:lvlJc w:val="left"/>
      <w:pPr>
        <w:ind w:left="720" w:hanging="360"/>
      </w:pPr>
    </w:lvl>
    <w:lvl w:ilvl="7" w:tplc="B016EFF6">
      <w:start w:val="1"/>
      <w:numFmt w:val="decimal"/>
      <w:lvlText w:val="%8."/>
      <w:lvlJc w:val="left"/>
      <w:pPr>
        <w:ind w:left="720" w:hanging="360"/>
      </w:pPr>
    </w:lvl>
    <w:lvl w:ilvl="8" w:tplc="5AD2B588">
      <w:start w:val="1"/>
      <w:numFmt w:val="decimal"/>
      <w:lvlText w:val="%9."/>
      <w:lvlJc w:val="left"/>
      <w:pPr>
        <w:ind w:left="720" w:hanging="360"/>
      </w:pPr>
    </w:lvl>
  </w:abstractNum>
  <w:abstractNum w:abstractNumId="33" w15:restartNumberingAfterBreak="0">
    <w:nsid w:val="54940671"/>
    <w:multiLevelType w:val="hybridMultilevel"/>
    <w:tmpl w:val="39B8A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AD62E0"/>
    <w:multiLevelType w:val="hybridMultilevel"/>
    <w:tmpl w:val="2AE05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115385"/>
    <w:multiLevelType w:val="hybridMultilevel"/>
    <w:tmpl w:val="9C26D202"/>
    <w:lvl w:ilvl="0" w:tplc="F9F27B8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C42F03"/>
    <w:multiLevelType w:val="hybridMultilevel"/>
    <w:tmpl w:val="8E1EB896"/>
    <w:lvl w:ilvl="0" w:tplc="0E7CED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9436E6"/>
    <w:multiLevelType w:val="hybridMultilevel"/>
    <w:tmpl w:val="060E9C88"/>
    <w:lvl w:ilvl="0" w:tplc="C47EB09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BE543A"/>
    <w:multiLevelType w:val="hybridMultilevel"/>
    <w:tmpl w:val="E2CC3DD6"/>
    <w:lvl w:ilvl="0" w:tplc="AE06BCD6">
      <w:start w:val="1"/>
      <w:numFmt w:val="decimal"/>
      <w:lvlText w:val="%1."/>
      <w:lvlJc w:val="left"/>
      <w:pPr>
        <w:ind w:left="1020" w:hanging="360"/>
      </w:pPr>
    </w:lvl>
    <w:lvl w:ilvl="1" w:tplc="02D039B0">
      <w:start w:val="1"/>
      <w:numFmt w:val="decimal"/>
      <w:lvlText w:val="%2."/>
      <w:lvlJc w:val="left"/>
      <w:pPr>
        <w:ind w:left="1020" w:hanging="360"/>
      </w:pPr>
    </w:lvl>
    <w:lvl w:ilvl="2" w:tplc="A34077B0">
      <w:start w:val="1"/>
      <w:numFmt w:val="decimal"/>
      <w:lvlText w:val="%3."/>
      <w:lvlJc w:val="left"/>
      <w:pPr>
        <w:ind w:left="1020" w:hanging="360"/>
      </w:pPr>
    </w:lvl>
    <w:lvl w:ilvl="3" w:tplc="1242B482">
      <w:start w:val="1"/>
      <w:numFmt w:val="decimal"/>
      <w:lvlText w:val="%4."/>
      <w:lvlJc w:val="left"/>
      <w:pPr>
        <w:ind w:left="1020" w:hanging="360"/>
      </w:pPr>
    </w:lvl>
    <w:lvl w:ilvl="4" w:tplc="62C210D4">
      <w:start w:val="1"/>
      <w:numFmt w:val="decimal"/>
      <w:lvlText w:val="%5."/>
      <w:lvlJc w:val="left"/>
      <w:pPr>
        <w:ind w:left="1020" w:hanging="360"/>
      </w:pPr>
    </w:lvl>
    <w:lvl w:ilvl="5" w:tplc="E690C036">
      <w:start w:val="1"/>
      <w:numFmt w:val="decimal"/>
      <w:lvlText w:val="%6."/>
      <w:lvlJc w:val="left"/>
      <w:pPr>
        <w:ind w:left="1020" w:hanging="360"/>
      </w:pPr>
    </w:lvl>
    <w:lvl w:ilvl="6" w:tplc="9288F22E">
      <w:start w:val="1"/>
      <w:numFmt w:val="decimal"/>
      <w:lvlText w:val="%7."/>
      <w:lvlJc w:val="left"/>
      <w:pPr>
        <w:ind w:left="1020" w:hanging="360"/>
      </w:pPr>
    </w:lvl>
    <w:lvl w:ilvl="7" w:tplc="6E8092CE">
      <w:start w:val="1"/>
      <w:numFmt w:val="decimal"/>
      <w:lvlText w:val="%8."/>
      <w:lvlJc w:val="left"/>
      <w:pPr>
        <w:ind w:left="1020" w:hanging="360"/>
      </w:pPr>
    </w:lvl>
    <w:lvl w:ilvl="8" w:tplc="8548B12A">
      <w:start w:val="1"/>
      <w:numFmt w:val="decimal"/>
      <w:lvlText w:val="%9."/>
      <w:lvlJc w:val="left"/>
      <w:pPr>
        <w:ind w:left="1020" w:hanging="360"/>
      </w:pPr>
    </w:lvl>
  </w:abstractNum>
  <w:abstractNum w:abstractNumId="39" w15:restartNumberingAfterBreak="0">
    <w:nsid w:val="649A2685"/>
    <w:multiLevelType w:val="hybridMultilevel"/>
    <w:tmpl w:val="FF587DF6"/>
    <w:lvl w:ilvl="0" w:tplc="355EDA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40047C"/>
    <w:multiLevelType w:val="hybridMultilevel"/>
    <w:tmpl w:val="25EE643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083A06"/>
    <w:multiLevelType w:val="hybridMultilevel"/>
    <w:tmpl w:val="DA12A1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8F2F6C"/>
    <w:multiLevelType w:val="hybridMultilevel"/>
    <w:tmpl w:val="0F5A5690"/>
    <w:lvl w:ilvl="0" w:tplc="C67C31E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E14A86"/>
    <w:multiLevelType w:val="hybridMultilevel"/>
    <w:tmpl w:val="380A3576"/>
    <w:lvl w:ilvl="0" w:tplc="A78C21B4">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C7675E"/>
    <w:multiLevelType w:val="hybridMultilevel"/>
    <w:tmpl w:val="B226F680"/>
    <w:lvl w:ilvl="0" w:tplc="2A0C7408">
      <w:start w:val="4"/>
      <w:numFmt w:val="upp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F62A8B"/>
    <w:multiLevelType w:val="hybridMultilevel"/>
    <w:tmpl w:val="9E78DFA4"/>
    <w:lvl w:ilvl="0" w:tplc="14068230">
      <w:start w:val="1"/>
      <w:numFmt w:val="decimal"/>
      <w:lvlText w:val="%1."/>
      <w:lvlJc w:val="left"/>
      <w:pPr>
        <w:ind w:left="720" w:hanging="360"/>
      </w:pPr>
    </w:lvl>
    <w:lvl w:ilvl="1" w:tplc="0620453E">
      <w:start w:val="1"/>
      <w:numFmt w:val="decimal"/>
      <w:lvlText w:val="%2."/>
      <w:lvlJc w:val="left"/>
      <w:pPr>
        <w:ind w:left="720" w:hanging="360"/>
      </w:pPr>
    </w:lvl>
    <w:lvl w:ilvl="2" w:tplc="A9B88872">
      <w:start w:val="1"/>
      <w:numFmt w:val="decimal"/>
      <w:lvlText w:val="%3."/>
      <w:lvlJc w:val="left"/>
      <w:pPr>
        <w:ind w:left="720" w:hanging="360"/>
      </w:pPr>
    </w:lvl>
    <w:lvl w:ilvl="3" w:tplc="F2983EB4">
      <w:start w:val="1"/>
      <w:numFmt w:val="decimal"/>
      <w:lvlText w:val="%4."/>
      <w:lvlJc w:val="left"/>
      <w:pPr>
        <w:ind w:left="720" w:hanging="360"/>
      </w:pPr>
    </w:lvl>
    <w:lvl w:ilvl="4" w:tplc="FF340976">
      <w:start w:val="1"/>
      <w:numFmt w:val="decimal"/>
      <w:lvlText w:val="%5."/>
      <w:lvlJc w:val="left"/>
      <w:pPr>
        <w:ind w:left="720" w:hanging="360"/>
      </w:pPr>
    </w:lvl>
    <w:lvl w:ilvl="5" w:tplc="2EEA1BCC">
      <w:start w:val="1"/>
      <w:numFmt w:val="decimal"/>
      <w:lvlText w:val="%6."/>
      <w:lvlJc w:val="left"/>
      <w:pPr>
        <w:ind w:left="720" w:hanging="360"/>
      </w:pPr>
    </w:lvl>
    <w:lvl w:ilvl="6" w:tplc="B366CABE">
      <w:start w:val="1"/>
      <w:numFmt w:val="decimal"/>
      <w:lvlText w:val="%7."/>
      <w:lvlJc w:val="left"/>
      <w:pPr>
        <w:ind w:left="720" w:hanging="360"/>
      </w:pPr>
    </w:lvl>
    <w:lvl w:ilvl="7" w:tplc="7EBC75D2">
      <w:start w:val="1"/>
      <w:numFmt w:val="decimal"/>
      <w:lvlText w:val="%8."/>
      <w:lvlJc w:val="left"/>
      <w:pPr>
        <w:ind w:left="720" w:hanging="360"/>
      </w:pPr>
    </w:lvl>
    <w:lvl w:ilvl="8" w:tplc="61C8B7C0">
      <w:start w:val="1"/>
      <w:numFmt w:val="decimal"/>
      <w:lvlText w:val="%9."/>
      <w:lvlJc w:val="left"/>
      <w:pPr>
        <w:ind w:left="720" w:hanging="360"/>
      </w:pPr>
    </w:lvl>
  </w:abstractNum>
  <w:abstractNum w:abstractNumId="46" w15:restartNumberingAfterBreak="0">
    <w:nsid w:val="7D993A91"/>
    <w:multiLevelType w:val="hybridMultilevel"/>
    <w:tmpl w:val="90044E8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70173850">
    <w:abstractNumId w:val="39"/>
  </w:num>
  <w:num w:numId="2" w16cid:durableId="24722881">
    <w:abstractNumId w:val="46"/>
  </w:num>
  <w:num w:numId="3" w16cid:durableId="1924990560">
    <w:abstractNumId w:val="42"/>
  </w:num>
  <w:num w:numId="4" w16cid:durableId="1368525077">
    <w:abstractNumId w:val="3"/>
  </w:num>
  <w:num w:numId="5" w16cid:durableId="376509779">
    <w:abstractNumId w:val="4"/>
  </w:num>
  <w:num w:numId="6" w16cid:durableId="1993487059">
    <w:abstractNumId w:val="27"/>
  </w:num>
  <w:num w:numId="7" w16cid:durableId="518354191">
    <w:abstractNumId w:val="24"/>
  </w:num>
  <w:num w:numId="8" w16cid:durableId="616521615">
    <w:abstractNumId w:val="38"/>
  </w:num>
  <w:num w:numId="9" w16cid:durableId="635453024">
    <w:abstractNumId w:val="0"/>
  </w:num>
  <w:num w:numId="10" w16cid:durableId="237903274">
    <w:abstractNumId w:val="11"/>
  </w:num>
  <w:num w:numId="11" w16cid:durableId="294215152">
    <w:abstractNumId w:val="6"/>
  </w:num>
  <w:num w:numId="12" w16cid:durableId="1444955827">
    <w:abstractNumId w:val="22"/>
  </w:num>
  <w:num w:numId="13" w16cid:durableId="553735649">
    <w:abstractNumId w:val="10"/>
  </w:num>
  <w:num w:numId="14" w16cid:durableId="116996113">
    <w:abstractNumId w:val="2"/>
  </w:num>
  <w:num w:numId="15" w16cid:durableId="1282877003">
    <w:abstractNumId w:val="8"/>
  </w:num>
  <w:num w:numId="16" w16cid:durableId="996955672">
    <w:abstractNumId w:val="40"/>
  </w:num>
  <w:num w:numId="17" w16cid:durableId="4092296">
    <w:abstractNumId w:val="36"/>
  </w:num>
  <w:num w:numId="18" w16cid:durableId="1972175192">
    <w:abstractNumId w:val="14"/>
  </w:num>
  <w:num w:numId="19" w16cid:durableId="1085959756">
    <w:abstractNumId w:val="15"/>
  </w:num>
  <w:num w:numId="20" w16cid:durableId="1539395209">
    <w:abstractNumId w:val="16"/>
  </w:num>
  <w:num w:numId="21" w16cid:durableId="717512196">
    <w:abstractNumId w:val="23"/>
  </w:num>
  <w:num w:numId="22" w16cid:durableId="1357734043">
    <w:abstractNumId w:val="32"/>
  </w:num>
  <w:num w:numId="23" w16cid:durableId="97063437">
    <w:abstractNumId w:val="19"/>
  </w:num>
  <w:num w:numId="24" w16cid:durableId="681323709">
    <w:abstractNumId w:val="41"/>
  </w:num>
  <w:num w:numId="25" w16cid:durableId="1001203376">
    <w:abstractNumId w:val="37"/>
  </w:num>
  <w:num w:numId="26" w16cid:durableId="1784183301">
    <w:abstractNumId w:val="34"/>
  </w:num>
  <w:num w:numId="27" w16cid:durableId="1350449904">
    <w:abstractNumId w:val="13"/>
  </w:num>
  <w:num w:numId="28" w16cid:durableId="1206675429">
    <w:abstractNumId w:val="18"/>
  </w:num>
  <w:num w:numId="29" w16cid:durableId="1186945860">
    <w:abstractNumId w:val="29"/>
  </w:num>
  <w:num w:numId="30" w16cid:durableId="49308345">
    <w:abstractNumId w:val="33"/>
  </w:num>
  <w:num w:numId="31" w16cid:durableId="118228842">
    <w:abstractNumId w:val="7"/>
  </w:num>
  <w:num w:numId="32" w16cid:durableId="1964655925">
    <w:abstractNumId w:val="43"/>
  </w:num>
  <w:num w:numId="33" w16cid:durableId="188958151">
    <w:abstractNumId w:val="45"/>
  </w:num>
  <w:num w:numId="34" w16cid:durableId="410395852">
    <w:abstractNumId w:val="9"/>
  </w:num>
  <w:num w:numId="35" w16cid:durableId="14812696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767346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00212098">
    <w:abstractNumId w:val="21"/>
  </w:num>
  <w:num w:numId="38" w16cid:durableId="1289238371">
    <w:abstractNumId w:val="31"/>
  </w:num>
  <w:num w:numId="39" w16cid:durableId="39523229">
    <w:abstractNumId w:val="5"/>
  </w:num>
  <w:num w:numId="40" w16cid:durableId="2140343698">
    <w:abstractNumId w:val="25"/>
  </w:num>
  <w:num w:numId="41" w16cid:durableId="392391747">
    <w:abstractNumId w:val="17"/>
  </w:num>
  <w:num w:numId="42" w16cid:durableId="1356346951">
    <w:abstractNumId w:val="12"/>
  </w:num>
  <w:num w:numId="43" w16cid:durableId="236475574">
    <w:abstractNumId w:val="35"/>
  </w:num>
  <w:num w:numId="44" w16cid:durableId="1078092083">
    <w:abstractNumId w:val="44"/>
  </w:num>
  <w:num w:numId="45" w16cid:durableId="675427617">
    <w:abstractNumId w:val="30"/>
  </w:num>
  <w:num w:numId="46" w16cid:durableId="334264174">
    <w:abstractNumId w:val="20"/>
  </w:num>
  <w:num w:numId="47" w16cid:durableId="480082477">
    <w:abstractNumId w:val="1"/>
  </w:num>
  <w:num w:numId="48" w16cid:durableId="161521350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B57"/>
    <w:rsid w:val="0000344F"/>
    <w:rsid w:val="00003F1C"/>
    <w:rsid w:val="00004D2D"/>
    <w:rsid w:val="00011130"/>
    <w:rsid w:val="00013A34"/>
    <w:rsid w:val="00022348"/>
    <w:rsid w:val="000259F0"/>
    <w:rsid w:val="0002771B"/>
    <w:rsid w:val="00027CB6"/>
    <w:rsid w:val="00035AD8"/>
    <w:rsid w:val="000417C6"/>
    <w:rsid w:val="0004212C"/>
    <w:rsid w:val="00043570"/>
    <w:rsid w:val="00046CBE"/>
    <w:rsid w:val="00047AD6"/>
    <w:rsid w:val="00054AD9"/>
    <w:rsid w:val="00055D3E"/>
    <w:rsid w:val="000569A4"/>
    <w:rsid w:val="00057ECE"/>
    <w:rsid w:val="00057FD5"/>
    <w:rsid w:val="000603E7"/>
    <w:rsid w:val="00060737"/>
    <w:rsid w:val="00060949"/>
    <w:rsid w:val="00065440"/>
    <w:rsid w:val="0007192C"/>
    <w:rsid w:val="00080903"/>
    <w:rsid w:val="00082A2F"/>
    <w:rsid w:val="000838CB"/>
    <w:rsid w:val="000865F7"/>
    <w:rsid w:val="00091AA6"/>
    <w:rsid w:val="00092368"/>
    <w:rsid w:val="0009243D"/>
    <w:rsid w:val="00093E7F"/>
    <w:rsid w:val="000949E9"/>
    <w:rsid w:val="000A3DC0"/>
    <w:rsid w:val="000A76FE"/>
    <w:rsid w:val="000B1548"/>
    <w:rsid w:val="000B3A46"/>
    <w:rsid w:val="000B428A"/>
    <w:rsid w:val="000B4C53"/>
    <w:rsid w:val="000C0F59"/>
    <w:rsid w:val="000C135E"/>
    <w:rsid w:val="000C5B05"/>
    <w:rsid w:val="000C77F2"/>
    <w:rsid w:val="000D0F81"/>
    <w:rsid w:val="000D237F"/>
    <w:rsid w:val="000D44D5"/>
    <w:rsid w:val="000D6565"/>
    <w:rsid w:val="000D6B15"/>
    <w:rsid w:val="000D6CDC"/>
    <w:rsid w:val="000E0991"/>
    <w:rsid w:val="000E3CCC"/>
    <w:rsid w:val="000E44BE"/>
    <w:rsid w:val="000E4996"/>
    <w:rsid w:val="000E56B8"/>
    <w:rsid w:val="000F1222"/>
    <w:rsid w:val="000F1685"/>
    <w:rsid w:val="000F4075"/>
    <w:rsid w:val="000F46A3"/>
    <w:rsid w:val="000F4D5E"/>
    <w:rsid w:val="000F51F5"/>
    <w:rsid w:val="000F55FC"/>
    <w:rsid w:val="000F6F28"/>
    <w:rsid w:val="000F7409"/>
    <w:rsid w:val="00103F40"/>
    <w:rsid w:val="001059D9"/>
    <w:rsid w:val="001072EB"/>
    <w:rsid w:val="00111A17"/>
    <w:rsid w:val="001131C3"/>
    <w:rsid w:val="00113AE5"/>
    <w:rsid w:val="00115EB4"/>
    <w:rsid w:val="00125A92"/>
    <w:rsid w:val="00125DE8"/>
    <w:rsid w:val="00126579"/>
    <w:rsid w:val="00135980"/>
    <w:rsid w:val="00136228"/>
    <w:rsid w:val="00137622"/>
    <w:rsid w:val="00142246"/>
    <w:rsid w:val="00142261"/>
    <w:rsid w:val="00147089"/>
    <w:rsid w:val="00150232"/>
    <w:rsid w:val="001506BE"/>
    <w:rsid w:val="00152170"/>
    <w:rsid w:val="001539B1"/>
    <w:rsid w:val="001562D1"/>
    <w:rsid w:val="00160EF4"/>
    <w:rsid w:val="00162101"/>
    <w:rsid w:val="001627D0"/>
    <w:rsid w:val="00163093"/>
    <w:rsid w:val="001674E2"/>
    <w:rsid w:val="001678B0"/>
    <w:rsid w:val="0017000C"/>
    <w:rsid w:val="001720E6"/>
    <w:rsid w:val="00174F69"/>
    <w:rsid w:val="00177F64"/>
    <w:rsid w:val="00182687"/>
    <w:rsid w:val="00184E65"/>
    <w:rsid w:val="0018553A"/>
    <w:rsid w:val="001877BF"/>
    <w:rsid w:val="0019019D"/>
    <w:rsid w:val="00190F23"/>
    <w:rsid w:val="00192CB2"/>
    <w:rsid w:val="00192CC1"/>
    <w:rsid w:val="00194F11"/>
    <w:rsid w:val="00195BF1"/>
    <w:rsid w:val="001A10A0"/>
    <w:rsid w:val="001A2DAD"/>
    <w:rsid w:val="001A4E9B"/>
    <w:rsid w:val="001A589E"/>
    <w:rsid w:val="001A6C73"/>
    <w:rsid w:val="001B2771"/>
    <w:rsid w:val="001B4861"/>
    <w:rsid w:val="001B4C7A"/>
    <w:rsid w:val="001B61DF"/>
    <w:rsid w:val="001B6F75"/>
    <w:rsid w:val="001C30C6"/>
    <w:rsid w:val="001C3969"/>
    <w:rsid w:val="001C4DB2"/>
    <w:rsid w:val="001D249E"/>
    <w:rsid w:val="001D331D"/>
    <w:rsid w:val="001D4ADD"/>
    <w:rsid w:val="001D513F"/>
    <w:rsid w:val="001D7523"/>
    <w:rsid w:val="001E0085"/>
    <w:rsid w:val="001E070E"/>
    <w:rsid w:val="001E2431"/>
    <w:rsid w:val="001E494D"/>
    <w:rsid w:val="001E7562"/>
    <w:rsid w:val="001F0217"/>
    <w:rsid w:val="001F0A3B"/>
    <w:rsid w:val="001F64A7"/>
    <w:rsid w:val="002015E6"/>
    <w:rsid w:val="00202706"/>
    <w:rsid w:val="00207022"/>
    <w:rsid w:val="00211E58"/>
    <w:rsid w:val="00214F04"/>
    <w:rsid w:val="00215CBF"/>
    <w:rsid w:val="00216A5B"/>
    <w:rsid w:val="002215FF"/>
    <w:rsid w:val="00223BEA"/>
    <w:rsid w:val="00225F4A"/>
    <w:rsid w:val="00227C2D"/>
    <w:rsid w:val="00227E3A"/>
    <w:rsid w:val="002318AE"/>
    <w:rsid w:val="00235733"/>
    <w:rsid w:val="00237777"/>
    <w:rsid w:val="00240439"/>
    <w:rsid w:val="002406B5"/>
    <w:rsid w:val="00241EA5"/>
    <w:rsid w:val="00242236"/>
    <w:rsid w:val="00245CC4"/>
    <w:rsid w:val="002513BB"/>
    <w:rsid w:val="002528C7"/>
    <w:rsid w:val="002548DD"/>
    <w:rsid w:val="0025596B"/>
    <w:rsid w:val="00257257"/>
    <w:rsid w:val="0025741D"/>
    <w:rsid w:val="00260489"/>
    <w:rsid w:val="002611C4"/>
    <w:rsid w:val="00261D5B"/>
    <w:rsid w:val="002628BB"/>
    <w:rsid w:val="00263E73"/>
    <w:rsid w:val="002650E3"/>
    <w:rsid w:val="002651A3"/>
    <w:rsid w:val="00276E74"/>
    <w:rsid w:val="00283100"/>
    <w:rsid w:val="00285B31"/>
    <w:rsid w:val="002871AC"/>
    <w:rsid w:val="002973DE"/>
    <w:rsid w:val="00297B5B"/>
    <w:rsid w:val="002A013F"/>
    <w:rsid w:val="002A044A"/>
    <w:rsid w:val="002A670D"/>
    <w:rsid w:val="002A7C31"/>
    <w:rsid w:val="002C1474"/>
    <w:rsid w:val="002C36AF"/>
    <w:rsid w:val="002C50BE"/>
    <w:rsid w:val="002C511B"/>
    <w:rsid w:val="002C5542"/>
    <w:rsid w:val="002C64D4"/>
    <w:rsid w:val="002D0CE9"/>
    <w:rsid w:val="002D4627"/>
    <w:rsid w:val="002E1BE7"/>
    <w:rsid w:val="002E25CA"/>
    <w:rsid w:val="002E375E"/>
    <w:rsid w:val="002F07F4"/>
    <w:rsid w:val="002F086F"/>
    <w:rsid w:val="002F17CF"/>
    <w:rsid w:val="002F378B"/>
    <w:rsid w:val="002F63CC"/>
    <w:rsid w:val="002F6779"/>
    <w:rsid w:val="00301E1F"/>
    <w:rsid w:val="003066BF"/>
    <w:rsid w:val="00307313"/>
    <w:rsid w:val="00310540"/>
    <w:rsid w:val="00310D6E"/>
    <w:rsid w:val="00312D8F"/>
    <w:rsid w:val="003134A4"/>
    <w:rsid w:val="003137AD"/>
    <w:rsid w:val="00315945"/>
    <w:rsid w:val="00316A7C"/>
    <w:rsid w:val="00321982"/>
    <w:rsid w:val="00323151"/>
    <w:rsid w:val="003231E5"/>
    <w:rsid w:val="00325D2E"/>
    <w:rsid w:val="00327A0B"/>
    <w:rsid w:val="0033569B"/>
    <w:rsid w:val="00347740"/>
    <w:rsid w:val="0035375F"/>
    <w:rsid w:val="00355985"/>
    <w:rsid w:val="00356D57"/>
    <w:rsid w:val="00360709"/>
    <w:rsid w:val="00360B3A"/>
    <w:rsid w:val="003632E0"/>
    <w:rsid w:val="00365E75"/>
    <w:rsid w:val="003678A7"/>
    <w:rsid w:val="00370F02"/>
    <w:rsid w:val="003758B0"/>
    <w:rsid w:val="003806DB"/>
    <w:rsid w:val="00382D4A"/>
    <w:rsid w:val="00383F27"/>
    <w:rsid w:val="00384010"/>
    <w:rsid w:val="00384923"/>
    <w:rsid w:val="00385A38"/>
    <w:rsid w:val="00390249"/>
    <w:rsid w:val="00392FA2"/>
    <w:rsid w:val="00394C9B"/>
    <w:rsid w:val="0039655D"/>
    <w:rsid w:val="003967E3"/>
    <w:rsid w:val="003A3A75"/>
    <w:rsid w:val="003A47C8"/>
    <w:rsid w:val="003A7054"/>
    <w:rsid w:val="003B084C"/>
    <w:rsid w:val="003B2A7E"/>
    <w:rsid w:val="003B5092"/>
    <w:rsid w:val="003B52FB"/>
    <w:rsid w:val="003B5F90"/>
    <w:rsid w:val="003C217F"/>
    <w:rsid w:val="003C40BA"/>
    <w:rsid w:val="003C4CA3"/>
    <w:rsid w:val="003C6201"/>
    <w:rsid w:val="003C693F"/>
    <w:rsid w:val="003D0157"/>
    <w:rsid w:val="003D03C8"/>
    <w:rsid w:val="003D610F"/>
    <w:rsid w:val="003D64BB"/>
    <w:rsid w:val="003D6F80"/>
    <w:rsid w:val="003E3848"/>
    <w:rsid w:val="003E6434"/>
    <w:rsid w:val="003E65B2"/>
    <w:rsid w:val="003E6B0C"/>
    <w:rsid w:val="003E718B"/>
    <w:rsid w:val="003F109A"/>
    <w:rsid w:val="003F44DA"/>
    <w:rsid w:val="00402139"/>
    <w:rsid w:val="004036FE"/>
    <w:rsid w:val="0040439C"/>
    <w:rsid w:val="00404926"/>
    <w:rsid w:val="0040569E"/>
    <w:rsid w:val="00407240"/>
    <w:rsid w:val="00407E7A"/>
    <w:rsid w:val="00411EA9"/>
    <w:rsid w:val="004132AA"/>
    <w:rsid w:val="00413B8A"/>
    <w:rsid w:val="00413E03"/>
    <w:rsid w:val="00414978"/>
    <w:rsid w:val="00420FD0"/>
    <w:rsid w:val="0042183D"/>
    <w:rsid w:val="00422EAB"/>
    <w:rsid w:val="004305C4"/>
    <w:rsid w:val="0043106A"/>
    <w:rsid w:val="004312F3"/>
    <w:rsid w:val="00431492"/>
    <w:rsid w:val="00431717"/>
    <w:rsid w:val="00434565"/>
    <w:rsid w:val="00440225"/>
    <w:rsid w:val="00441FCF"/>
    <w:rsid w:val="00442B5B"/>
    <w:rsid w:val="00444370"/>
    <w:rsid w:val="004461ED"/>
    <w:rsid w:val="00451AA4"/>
    <w:rsid w:val="004524E6"/>
    <w:rsid w:val="00453DFB"/>
    <w:rsid w:val="00454E17"/>
    <w:rsid w:val="00460791"/>
    <w:rsid w:val="00462EED"/>
    <w:rsid w:val="00464BFA"/>
    <w:rsid w:val="00466EFA"/>
    <w:rsid w:val="00471E3F"/>
    <w:rsid w:val="00472673"/>
    <w:rsid w:val="004746DE"/>
    <w:rsid w:val="00480FF1"/>
    <w:rsid w:val="00484FEE"/>
    <w:rsid w:val="004904B1"/>
    <w:rsid w:val="004934B5"/>
    <w:rsid w:val="00493D9F"/>
    <w:rsid w:val="0049476E"/>
    <w:rsid w:val="00496F95"/>
    <w:rsid w:val="004979E2"/>
    <w:rsid w:val="004A1F32"/>
    <w:rsid w:val="004A528C"/>
    <w:rsid w:val="004A58B6"/>
    <w:rsid w:val="004A6235"/>
    <w:rsid w:val="004A6BB7"/>
    <w:rsid w:val="004A7EC5"/>
    <w:rsid w:val="004B0C21"/>
    <w:rsid w:val="004B1309"/>
    <w:rsid w:val="004B1868"/>
    <w:rsid w:val="004B1E66"/>
    <w:rsid w:val="004B27E2"/>
    <w:rsid w:val="004B674D"/>
    <w:rsid w:val="004B6A3A"/>
    <w:rsid w:val="004B7236"/>
    <w:rsid w:val="004B732B"/>
    <w:rsid w:val="004C2D76"/>
    <w:rsid w:val="004C5202"/>
    <w:rsid w:val="004C675C"/>
    <w:rsid w:val="004D1012"/>
    <w:rsid w:val="004D3030"/>
    <w:rsid w:val="004D3092"/>
    <w:rsid w:val="004D514C"/>
    <w:rsid w:val="004D59A8"/>
    <w:rsid w:val="004D7599"/>
    <w:rsid w:val="004E111A"/>
    <w:rsid w:val="004E1292"/>
    <w:rsid w:val="004E267E"/>
    <w:rsid w:val="004E34FD"/>
    <w:rsid w:val="004E3CF5"/>
    <w:rsid w:val="004E5004"/>
    <w:rsid w:val="004F72E8"/>
    <w:rsid w:val="005005F1"/>
    <w:rsid w:val="005010AC"/>
    <w:rsid w:val="00506C6D"/>
    <w:rsid w:val="00507446"/>
    <w:rsid w:val="005104C1"/>
    <w:rsid w:val="0051115E"/>
    <w:rsid w:val="00511B47"/>
    <w:rsid w:val="0051262E"/>
    <w:rsid w:val="00514258"/>
    <w:rsid w:val="00514345"/>
    <w:rsid w:val="005203E5"/>
    <w:rsid w:val="005213EF"/>
    <w:rsid w:val="005229DA"/>
    <w:rsid w:val="0052465B"/>
    <w:rsid w:val="005268F6"/>
    <w:rsid w:val="005310D0"/>
    <w:rsid w:val="00532987"/>
    <w:rsid w:val="00532D34"/>
    <w:rsid w:val="00533062"/>
    <w:rsid w:val="005353C8"/>
    <w:rsid w:val="00536E50"/>
    <w:rsid w:val="00540E87"/>
    <w:rsid w:val="005434E7"/>
    <w:rsid w:val="00544638"/>
    <w:rsid w:val="00544ECA"/>
    <w:rsid w:val="00545EEE"/>
    <w:rsid w:val="00554B5A"/>
    <w:rsid w:val="005557ED"/>
    <w:rsid w:val="00555D29"/>
    <w:rsid w:val="0055666C"/>
    <w:rsid w:val="00557063"/>
    <w:rsid w:val="00564968"/>
    <w:rsid w:val="00565984"/>
    <w:rsid w:val="00571C12"/>
    <w:rsid w:val="00572785"/>
    <w:rsid w:val="00573F40"/>
    <w:rsid w:val="00575B2B"/>
    <w:rsid w:val="005777E7"/>
    <w:rsid w:val="00580A87"/>
    <w:rsid w:val="00581444"/>
    <w:rsid w:val="0058147A"/>
    <w:rsid w:val="00583052"/>
    <w:rsid w:val="00583524"/>
    <w:rsid w:val="00590365"/>
    <w:rsid w:val="00594F68"/>
    <w:rsid w:val="0059516C"/>
    <w:rsid w:val="0059601E"/>
    <w:rsid w:val="00597EA9"/>
    <w:rsid w:val="005A1129"/>
    <w:rsid w:val="005A4739"/>
    <w:rsid w:val="005A4915"/>
    <w:rsid w:val="005A5C65"/>
    <w:rsid w:val="005A7544"/>
    <w:rsid w:val="005B17E0"/>
    <w:rsid w:val="005B5BC3"/>
    <w:rsid w:val="005B5E4E"/>
    <w:rsid w:val="005C470D"/>
    <w:rsid w:val="005C6D54"/>
    <w:rsid w:val="005D1014"/>
    <w:rsid w:val="005D6015"/>
    <w:rsid w:val="005D6D41"/>
    <w:rsid w:val="005E116D"/>
    <w:rsid w:val="005E3083"/>
    <w:rsid w:val="005E35A9"/>
    <w:rsid w:val="005E45C7"/>
    <w:rsid w:val="005E49BA"/>
    <w:rsid w:val="005F0099"/>
    <w:rsid w:val="005F424C"/>
    <w:rsid w:val="005F5DAB"/>
    <w:rsid w:val="005F7B8B"/>
    <w:rsid w:val="00601B02"/>
    <w:rsid w:val="00602234"/>
    <w:rsid w:val="006048E9"/>
    <w:rsid w:val="00607C07"/>
    <w:rsid w:val="0061059D"/>
    <w:rsid w:val="00610800"/>
    <w:rsid w:val="00611A19"/>
    <w:rsid w:val="00612181"/>
    <w:rsid w:val="0061384A"/>
    <w:rsid w:val="00614701"/>
    <w:rsid w:val="006147B1"/>
    <w:rsid w:val="006179B0"/>
    <w:rsid w:val="00617B03"/>
    <w:rsid w:val="00617B43"/>
    <w:rsid w:val="0062153C"/>
    <w:rsid w:val="00621D97"/>
    <w:rsid w:val="0062429D"/>
    <w:rsid w:val="00624767"/>
    <w:rsid w:val="00627276"/>
    <w:rsid w:val="00627547"/>
    <w:rsid w:val="00627C44"/>
    <w:rsid w:val="00630877"/>
    <w:rsid w:val="006311D4"/>
    <w:rsid w:val="00632996"/>
    <w:rsid w:val="00633938"/>
    <w:rsid w:val="006346D0"/>
    <w:rsid w:val="00635FA5"/>
    <w:rsid w:val="00640220"/>
    <w:rsid w:val="00641D14"/>
    <w:rsid w:val="006421AE"/>
    <w:rsid w:val="00642FC2"/>
    <w:rsid w:val="00643C6A"/>
    <w:rsid w:val="006460C9"/>
    <w:rsid w:val="006471A1"/>
    <w:rsid w:val="00651A1A"/>
    <w:rsid w:val="00652AC6"/>
    <w:rsid w:val="00652C66"/>
    <w:rsid w:val="00654B22"/>
    <w:rsid w:val="0065534E"/>
    <w:rsid w:val="00655D35"/>
    <w:rsid w:val="006711B0"/>
    <w:rsid w:val="00671668"/>
    <w:rsid w:val="00673B7C"/>
    <w:rsid w:val="00675307"/>
    <w:rsid w:val="00675AEA"/>
    <w:rsid w:val="00681E51"/>
    <w:rsid w:val="006829B4"/>
    <w:rsid w:val="00683BFC"/>
    <w:rsid w:val="006851A0"/>
    <w:rsid w:val="006860B4"/>
    <w:rsid w:val="00690504"/>
    <w:rsid w:val="0069054B"/>
    <w:rsid w:val="0069249F"/>
    <w:rsid w:val="0069257D"/>
    <w:rsid w:val="006951B2"/>
    <w:rsid w:val="00695719"/>
    <w:rsid w:val="00696036"/>
    <w:rsid w:val="0069675A"/>
    <w:rsid w:val="00697F7A"/>
    <w:rsid w:val="006A2F7D"/>
    <w:rsid w:val="006A37E9"/>
    <w:rsid w:val="006A40F1"/>
    <w:rsid w:val="006A536F"/>
    <w:rsid w:val="006A7655"/>
    <w:rsid w:val="006B28F6"/>
    <w:rsid w:val="006B2949"/>
    <w:rsid w:val="006C0077"/>
    <w:rsid w:val="006C29A9"/>
    <w:rsid w:val="006C3B4B"/>
    <w:rsid w:val="006C3E1A"/>
    <w:rsid w:val="006C5A06"/>
    <w:rsid w:val="006C6540"/>
    <w:rsid w:val="006D0DC9"/>
    <w:rsid w:val="006D4156"/>
    <w:rsid w:val="006E2770"/>
    <w:rsid w:val="006E59D6"/>
    <w:rsid w:val="006F13D5"/>
    <w:rsid w:val="006F1644"/>
    <w:rsid w:val="0070015D"/>
    <w:rsid w:val="007003B1"/>
    <w:rsid w:val="00701AAE"/>
    <w:rsid w:val="0070327C"/>
    <w:rsid w:val="00707AAE"/>
    <w:rsid w:val="00710E32"/>
    <w:rsid w:val="00713233"/>
    <w:rsid w:val="00713E8D"/>
    <w:rsid w:val="00722CFC"/>
    <w:rsid w:val="00724085"/>
    <w:rsid w:val="00727D79"/>
    <w:rsid w:val="007324EA"/>
    <w:rsid w:val="00733843"/>
    <w:rsid w:val="007346E7"/>
    <w:rsid w:val="00734759"/>
    <w:rsid w:val="00734BC1"/>
    <w:rsid w:val="00734FC7"/>
    <w:rsid w:val="007355C7"/>
    <w:rsid w:val="00740655"/>
    <w:rsid w:val="007433AA"/>
    <w:rsid w:val="00743D4E"/>
    <w:rsid w:val="00743DEE"/>
    <w:rsid w:val="007452E6"/>
    <w:rsid w:val="00754544"/>
    <w:rsid w:val="00760456"/>
    <w:rsid w:val="00761552"/>
    <w:rsid w:val="00763A48"/>
    <w:rsid w:val="007648A5"/>
    <w:rsid w:val="00764AE3"/>
    <w:rsid w:val="007664FE"/>
    <w:rsid w:val="00772745"/>
    <w:rsid w:val="00772BAB"/>
    <w:rsid w:val="0077304C"/>
    <w:rsid w:val="007735BC"/>
    <w:rsid w:val="007756D8"/>
    <w:rsid w:val="0078152E"/>
    <w:rsid w:val="00781D9C"/>
    <w:rsid w:val="00783674"/>
    <w:rsid w:val="00783FC3"/>
    <w:rsid w:val="007847E0"/>
    <w:rsid w:val="0078628C"/>
    <w:rsid w:val="00791B53"/>
    <w:rsid w:val="00796064"/>
    <w:rsid w:val="00796074"/>
    <w:rsid w:val="007961DA"/>
    <w:rsid w:val="00796AE2"/>
    <w:rsid w:val="007A07BA"/>
    <w:rsid w:val="007A0FB3"/>
    <w:rsid w:val="007B2210"/>
    <w:rsid w:val="007C1D4A"/>
    <w:rsid w:val="007C1E65"/>
    <w:rsid w:val="007C2470"/>
    <w:rsid w:val="007C25BF"/>
    <w:rsid w:val="007C4B25"/>
    <w:rsid w:val="007C683C"/>
    <w:rsid w:val="007C7D8E"/>
    <w:rsid w:val="007D2E80"/>
    <w:rsid w:val="007D63A2"/>
    <w:rsid w:val="007E1F0F"/>
    <w:rsid w:val="007E23F1"/>
    <w:rsid w:val="007E3B78"/>
    <w:rsid w:val="007E5446"/>
    <w:rsid w:val="007E640A"/>
    <w:rsid w:val="007F166F"/>
    <w:rsid w:val="007F23E2"/>
    <w:rsid w:val="007F2E8F"/>
    <w:rsid w:val="007F30F2"/>
    <w:rsid w:val="007F5351"/>
    <w:rsid w:val="007F6B40"/>
    <w:rsid w:val="007F7141"/>
    <w:rsid w:val="007F7A68"/>
    <w:rsid w:val="00800780"/>
    <w:rsid w:val="00801D3D"/>
    <w:rsid w:val="008054D9"/>
    <w:rsid w:val="008058D4"/>
    <w:rsid w:val="00807A30"/>
    <w:rsid w:val="008106A0"/>
    <w:rsid w:val="008106B1"/>
    <w:rsid w:val="008112AE"/>
    <w:rsid w:val="0081144D"/>
    <w:rsid w:val="00814DFF"/>
    <w:rsid w:val="008158C3"/>
    <w:rsid w:val="00821987"/>
    <w:rsid w:val="008248BA"/>
    <w:rsid w:val="00830B62"/>
    <w:rsid w:val="00832881"/>
    <w:rsid w:val="00834D27"/>
    <w:rsid w:val="008403B2"/>
    <w:rsid w:val="00840850"/>
    <w:rsid w:val="00841120"/>
    <w:rsid w:val="00841A34"/>
    <w:rsid w:val="008429E0"/>
    <w:rsid w:val="0084493F"/>
    <w:rsid w:val="008464A1"/>
    <w:rsid w:val="00853860"/>
    <w:rsid w:val="0085632C"/>
    <w:rsid w:val="00856A34"/>
    <w:rsid w:val="00860A2B"/>
    <w:rsid w:val="00861543"/>
    <w:rsid w:val="00862592"/>
    <w:rsid w:val="008640C4"/>
    <w:rsid w:val="0086767A"/>
    <w:rsid w:val="00867842"/>
    <w:rsid w:val="008679EA"/>
    <w:rsid w:val="00870C9E"/>
    <w:rsid w:val="00871BB4"/>
    <w:rsid w:val="00874026"/>
    <w:rsid w:val="00880881"/>
    <w:rsid w:val="00880A20"/>
    <w:rsid w:val="00881A93"/>
    <w:rsid w:val="00882ED4"/>
    <w:rsid w:val="008848A5"/>
    <w:rsid w:val="008849FF"/>
    <w:rsid w:val="008863B9"/>
    <w:rsid w:val="00886456"/>
    <w:rsid w:val="00886CCB"/>
    <w:rsid w:val="00887917"/>
    <w:rsid w:val="00891281"/>
    <w:rsid w:val="00896C57"/>
    <w:rsid w:val="008A0153"/>
    <w:rsid w:val="008A186D"/>
    <w:rsid w:val="008A1B9A"/>
    <w:rsid w:val="008A2142"/>
    <w:rsid w:val="008A21A1"/>
    <w:rsid w:val="008A6317"/>
    <w:rsid w:val="008A6D02"/>
    <w:rsid w:val="008A7DAB"/>
    <w:rsid w:val="008B3A7F"/>
    <w:rsid w:val="008B4C84"/>
    <w:rsid w:val="008B5024"/>
    <w:rsid w:val="008B6391"/>
    <w:rsid w:val="008B67AF"/>
    <w:rsid w:val="008B745A"/>
    <w:rsid w:val="008C0DAC"/>
    <w:rsid w:val="008C2840"/>
    <w:rsid w:val="008C2E9D"/>
    <w:rsid w:val="008C32BE"/>
    <w:rsid w:val="008C69CC"/>
    <w:rsid w:val="008D0884"/>
    <w:rsid w:val="008D31B8"/>
    <w:rsid w:val="008D3F65"/>
    <w:rsid w:val="008D61D5"/>
    <w:rsid w:val="008E1450"/>
    <w:rsid w:val="008E152C"/>
    <w:rsid w:val="008F3A6F"/>
    <w:rsid w:val="008F4A68"/>
    <w:rsid w:val="008F6F0E"/>
    <w:rsid w:val="008F7038"/>
    <w:rsid w:val="009020B3"/>
    <w:rsid w:val="009058B6"/>
    <w:rsid w:val="00910193"/>
    <w:rsid w:val="0091260A"/>
    <w:rsid w:val="00912B66"/>
    <w:rsid w:val="00913D1B"/>
    <w:rsid w:val="009145B7"/>
    <w:rsid w:val="00915618"/>
    <w:rsid w:val="009170BE"/>
    <w:rsid w:val="009173F2"/>
    <w:rsid w:val="00917805"/>
    <w:rsid w:val="0092329A"/>
    <w:rsid w:val="00923684"/>
    <w:rsid w:val="0093164C"/>
    <w:rsid w:val="00931FC5"/>
    <w:rsid w:val="00932C3F"/>
    <w:rsid w:val="00937B5D"/>
    <w:rsid w:val="009411D5"/>
    <w:rsid w:val="00942B5B"/>
    <w:rsid w:val="00945FA0"/>
    <w:rsid w:val="00946CD4"/>
    <w:rsid w:val="00947EC4"/>
    <w:rsid w:val="00950953"/>
    <w:rsid w:val="00951D32"/>
    <w:rsid w:val="0095293B"/>
    <w:rsid w:val="0095302E"/>
    <w:rsid w:val="009564CF"/>
    <w:rsid w:val="0095692E"/>
    <w:rsid w:val="00960684"/>
    <w:rsid w:val="009662B2"/>
    <w:rsid w:val="0097333A"/>
    <w:rsid w:val="009736AF"/>
    <w:rsid w:val="00973BE5"/>
    <w:rsid w:val="00974C64"/>
    <w:rsid w:val="00974DAB"/>
    <w:rsid w:val="00975FEC"/>
    <w:rsid w:val="00983CD4"/>
    <w:rsid w:val="00987D4F"/>
    <w:rsid w:val="009924B3"/>
    <w:rsid w:val="0099263B"/>
    <w:rsid w:val="009952AD"/>
    <w:rsid w:val="0099698B"/>
    <w:rsid w:val="00996F04"/>
    <w:rsid w:val="009A1BFA"/>
    <w:rsid w:val="009A21E0"/>
    <w:rsid w:val="009A23C6"/>
    <w:rsid w:val="009A2D59"/>
    <w:rsid w:val="009A4E2D"/>
    <w:rsid w:val="009B1B84"/>
    <w:rsid w:val="009B1C89"/>
    <w:rsid w:val="009B5EAC"/>
    <w:rsid w:val="009B5F2A"/>
    <w:rsid w:val="009B682C"/>
    <w:rsid w:val="009C29E5"/>
    <w:rsid w:val="009C352E"/>
    <w:rsid w:val="009C42A8"/>
    <w:rsid w:val="009C4D01"/>
    <w:rsid w:val="009C5B39"/>
    <w:rsid w:val="009C5F31"/>
    <w:rsid w:val="009C6E4A"/>
    <w:rsid w:val="009D651A"/>
    <w:rsid w:val="009E1620"/>
    <w:rsid w:val="009E49C2"/>
    <w:rsid w:val="009E6A06"/>
    <w:rsid w:val="009F37DD"/>
    <w:rsid w:val="009F3E7E"/>
    <w:rsid w:val="009F499B"/>
    <w:rsid w:val="009F5043"/>
    <w:rsid w:val="009F6FCB"/>
    <w:rsid w:val="009F7C7F"/>
    <w:rsid w:val="00A0239A"/>
    <w:rsid w:val="00A0486C"/>
    <w:rsid w:val="00A071CB"/>
    <w:rsid w:val="00A14A2E"/>
    <w:rsid w:val="00A1545D"/>
    <w:rsid w:val="00A213CB"/>
    <w:rsid w:val="00A21F91"/>
    <w:rsid w:val="00A2488E"/>
    <w:rsid w:val="00A24A6B"/>
    <w:rsid w:val="00A26446"/>
    <w:rsid w:val="00A268F4"/>
    <w:rsid w:val="00A27CB8"/>
    <w:rsid w:val="00A27D5B"/>
    <w:rsid w:val="00A32348"/>
    <w:rsid w:val="00A32595"/>
    <w:rsid w:val="00A340B7"/>
    <w:rsid w:val="00A3511D"/>
    <w:rsid w:val="00A363E8"/>
    <w:rsid w:val="00A4045D"/>
    <w:rsid w:val="00A4072E"/>
    <w:rsid w:val="00A41018"/>
    <w:rsid w:val="00A42CD5"/>
    <w:rsid w:val="00A44FF3"/>
    <w:rsid w:val="00A471B2"/>
    <w:rsid w:val="00A500EE"/>
    <w:rsid w:val="00A53C3D"/>
    <w:rsid w:val="00A557EE"/>
    <w:rsid w:val="00A60C54"/>
    <w:rsid w:val="00A62A18"/>
    <w:rsid w:val="00A62B28"/>
    <w:rsid w:val="00A663FA"/>
    <w:rsid w:val="00A6676F"/>
    <w:rsid w:val="00A70648"/>
    <w:rsid w:val="00A71135"/>
    <w:rsid w:val="00A719D8"/>
    <w:rsid w:val="00A73E83"/>
    <w:rsid w:val="00A80A75"/>
    <w:rsid w:val="00A83C90"/>
    <w:rsid w:val="00A84D70"/>
    <w:rsid w:val="00A85F58"/>
    <w:rsid w:val="00A871E3"/>
    <w:rsid w:val="00A9157E"/>
    <w:rsid w:val="00A91AC7"/>
    <w:rsid w:val="00A946AF"/>
    <w:rsid w:val="00A961BE"/>
    <w:rsid w:val="00AA00F7"/>
    <w:rsid w:val="00AA0641"/>
    <w:rsid w:val="00AA09F3"/>
    <w:rsid w:val="00AA0CCC"/>
    <w:rsid w:val="00AA0F7A"/>
    <w:rsid w:val="00AA2902"/>
    <w:rsid w:val="00AA5710"/>
    <w:rsid w:val="00AA6AEF"/>
    <w:rsid w:val="00AA752B"/>
    <w:rsid w:val="00AB192C"/>
    <w:rsid w:val="00AB22D1"/>
    <w:rsid w:val="00AB2378"/>
    <w:rsid w:val="00AC05CC"/>
    <w:rsid w:val="00AC09CF"/>
    <w:rsid w:val="00AC1C8E"/>
    <w:rsid w:val="00AC33CF"/>
    <w:rsid w:val="00AC3442"/>
    <w:rsid w:val="00AD13C6"/>
    <w:rsid w:val="00AD39CC"/>
    <w:rsid w:val="00AD6F39"/>
    <w:rsid w:val="00AE3236"/>
    <w:rsid w:val="00AE336E"/>
    <w:rsid w:val="00AE4AB3"/>
    <w:rsid w:val="00AE6297"/>
    <w:rsid w:val="00AF1688"/>
    <w:rsid w:val="00B04AC9"/>
    <w:rsid w:val="00B063E2"/>
    <w:rsid w:val="00B069E4"/>
    <w:rsid w:val="00B0708A"/>
    <w:rsid w:val="00B075BB"/>
    <w:rsid w:val="00B1248C"/>
    <w:rsid w:val="00B1266E"/>
    <w:rsid w:val="00B135B3"/>
    <w:rsid w:val="00B148DB"/>
    <w:rsid w:val="00B16C0B"/>
    <w:rsid w:val="00B173C8"/>
    <w:rsid w:val="00B25141"/>
    <w:rsid w:val="00B253D8"/>
    <w:rsid w:val="00B306AF"/>
    <w:rsid w:val="00B30EBC"/>
    <w:rsid w:val="00B32088"/>
    <w:rsid w:val="00B330FF"/>
    <w:rsid w:val="00B33727"/>
    <w:rsid w:val="00B36D6A"/>
    <w:rsid w:val="00B3746E"/>
    <w:rsid w:val="00B41E81"/>
    <w:rsid w:val="00B424DF"/>
    <w:rsid w:val="00B442BA"/>
    <w:rsid w:val="00B5023C"/>
    <w:rsid w:val="00B5370C"/>
    <w:rsid w:val="00B60ECD"/>
    <w:rsid w:val="00B61199"/>
    <w:rsid w:val="00B63AC7"/>
    <w:rsid w:val="00B74C9C"/>
    <w:rsid w:val="00B9703A"/>
    <w:rsid w:val="00BA69F6"/>
    <w:rsid w:val="00BA767C"/>
    <w:rsid w:val="00BA7D02"/>
    <w:rsid w:val="00BB10DE"/>
    <w:rsid w:val="00BB1E77"/>
    <w:rsid w:val="00BB4467"/>
    <w:rsid w:val="00BB4531"/>
    <w:rsid w:val="00BD05A4"/>
    <w:rsid w:val="00BD1174"/>
    <w:rsid w:val="00BD1D27"/>
    <w:rsid w:val="00BD208A"/>
    <w:rsid w:val="00BD2660"/>
    <w:rsid w:val="00BD3871"/>
    <w:rsid w:val="00BD4EAD"/>
    <w:rsid w:val="00BE03F4"/>
    <w:rsid w:val="00BE44A6"/>
    <w:rsid w:val="00BF1C1D"/>
    <w:rsid w:val="00BF217F"/>
    <w:rsid w:val="00BF4718"/>
    <w:rsid w:val="00C0529A"/>
    <w:rsid w:val="00C0628B"/>
    <w:rsid w:val="00C069EF"/>
    <w:rsid w:val="00C11CCE"/>
    <w:rsid w:val="00C123EF"/>
    <w:rsid w:val="00C13B27"/>
    <w:rsid w:val="00C13EAC"/>
    <w:rsid w:val="00C14A99"/>
    <w:rsid w:val="00C17C49"/>
    <w:rsid w:val="00C20B0E"/>
    <w:rsid w:val="00C232F2"/>
    <w:rsid w:val="00C24C39"/>
    <w:rsid w:val="00C276D7"/>
    <w:rsid w:val="00C34077"/>
    <w:rsid w:val="00C36A4D"/>
    <w:rsid w:val="00C40EF8"/>
    <w:rsid w:val="00C4229B"/>
    <w:rsid w:val="00C439E0"/>
    <w:rsid w:val="00C4705E"/>
    <w:rsid w:val="00C474C3"/>
    <w:rsid w:val="00C50FC8"/>
    <w:rsid w:val="00C51A89"/>
    <w:rsid w:val="00C53518"/>
    <w:rsid w:val="00C5375D"/>
    <w:rsid w:val="00C5384D"/>
    <w:rsid w:val="00C54201"/>
    <w:rsid w:val="00C55DAA"/>
    <w:rsid w:val="00C57D08"/>
    <w:rsid w:val="00C61203"/>
    <w:rsid w:val="00C63FAD"/>
    <w:rsid w:val="00C6424C"/>
    <w:rsid w:val="00C67135"/>
    <w:rsid w:val="00C67CEA"/>
    <w:rsid w:val="00C716BC"/>
    <w:rsid w:val="00C74C5D"/>
    <w:rsid w:val="00C82626"/>
    <w:rsid w:val="00C82881"/>
    <w:rsid w:val="00C83058"/>
    <w:rsid w:val="00C84543"/>
    <w:rsid w:val="00C84C46"/>
    <w:rsid w:val="00C84DE6"/>
    <w:rsid w:val="00C85B57"/>
    <w:rsid w:val="00C968BA"/>
    <w:rsid w:val="00C9708E"/>
    <w:rsid w:val="00C974C6"/>
    <w:rsid w:val="00CA3E00"/>
    <w:rsid w:val="00CA5CFE"/>
    <w:rsid w:val="00CA6770"/>
    <w:rsid w:val="00CA7AF5"/>
    <w:rsid w:val="00CB20C1"/>
    <w:rsid w:val="00CB48C7"/>
    <w:rsid w:val="00CB48E3"/>
    <w:rsid w:val="00CB4D2E"/>
    <w:rsid w:val="00CB5F76"/>
    <w:rsid w:val="00CC38C2"/>
    <w:rsid w:val="00CC5C6C"/>
    <w:rsid w:val="00CD64DD"/>
    <w:rsid w:val="00CE23B6"/>
    <w:rsid w:val="00CE4F0E"/>
    <w:rsid w:val="00CF0E1A"/>
    <w:rsid w:val="00CF1849"/>
    <w:rsid w:val="00CF20FD"/>
    <w:rsid w:val="00D00C91"/>
    <w:rsid w:val="00D01260"/>
    <w:rsid w:val="00D03B6E"/>
    <w:rsid w:val="00D05A13"/>
    <w:rsid w:val="00D10532"/>
    <w:rsid w:val="00D13951"/>
    <w:rsid w:val="00D139FF"/>
    <w:rsid w:val="00D14446"/>
    <w:rsid w:val="00D168F3"/>
    <w:rsid w:val="00D21A56"/>
    <w:rsid w:val="00D231DA"/>
    <w:rsid w:val="00D23B5B"/>
    <w:rsid w:val="00D24B59"/>
    <w:rsid w:val="00D24C30"/>
    <w:rsid w:val="00D262FE"/>
    <w:rsid w:val="00D2644F"/>
    <w:rsid w:val="00D329D0"/>
    <w:rsid w:val="00D3412D"/>
    <w:rsid w:val="00D35721"/>
    <w:rsid w:val="00D3625F"/>
    <w:rsid w:val="00D366CB"/>
    <w:rsid w:val="00D370C8"/>
    <w:rsid w:val="00D40EC9"/>
    <w:rsid w:val="00D418BD"/>
    <w:rsid w:val="00D41B42"/>
    <w:rsid w:val="00D41EE3"/>
    <w:rsid w:val="00D42B0E"/>
    <w:rsid w:val="00D4332A"/>
    <w:rsid w:val="00D43A49"/>
    <w:rsid w:val="00D440CD"/>
    <w:rsid w:val="00D44638"/>
    <w:rsid w:val="00D50CB0"/>
    <w:rsid w:val="00D51A6B"/>
    <w:rsid w:val="00D545FF"/>
    <w:rsid w:val="00D54C1C"/>
    <w:rsid w:val="00D574FA"/>
    <w:rsid w:val="00D57A0E"/>
    <w:rsid w:val="00D62FCA"/>
    <w:rsid w:val="00D63D0D"/>
    <w:rsid w:val="00D64895"/>
    <w:rsid w:val="00D65386"/>
    <w:rsid w:val="00D65AB1"/>
    <w:rsid w:val="00D662C0"/>
    <w:rsid w:val="00D66BE9"/>
    <w:rsid w:val="00D70652"/>
    <w:rsid w:val="00D70940"/>
    <w:rsid w:val="00D715FC"/>
    <w:rsid w:val="00D71735"/>
    <w:rsid w:val="00D73CAA"/>
    <w:rsid w:val="00D76CE7"/>
    <w:rsid w:val="00D76D0F"/>
    <w:rsid w:val="00D771A0"/>
    <w:rsid w:val="00D775F4"/>
    <w:rsid w:val="00D81F55"/>
    <w:rsid w:val="00D8397F"/>
    <w:rsid w:val="00D85AEE"/>
    <w:rsid w:val="00D86124"/>
    <w:rsid w:val="00D877AE"/>
    <w:rsid w:val="00D904D6"/>
    <w:rsid w:val="00D91DF1"/>
    <w:rsid w:val="00D94AA8"/>
    <w:rsid w:val="00D97F74"/>
    <w:rsid w:val="00DA15F6"/>
    <w:rsid w:val="00DA27FC"/>
    <w:rsid w:val="00DA4567"/>
    <w:rsid w:val="00DA61C9"/>
    <w:rsid w:val="00DB0CEB"/>
    <w:rsid w:val="00DB4DD1"/>
    <w:rsid w:val="00DB5C2A"/>
    <w:rsid w:val="00DB5CDF"/>
    <w:rsid w:val="00DC1C16"/>
    <w:rsid w:val="00DC1EAF"/>
    <w:rsid w:val="00DC2CE7"/>
    <w:rsid w:val="00DC2E73"/>
    <w:rsid w:val="00DC375C"/>
    <w:rsid w:val="00DC5FAD"/>
    <w:rsid w:val="00DC7532"/>
    <w:rsid w:val="00DD02C9"/>
    <w:rsid w:val="00DD0D55"/>
    <w:rsid w:val="00DE119C"/>
    <w:rsid w:val="00DE145A"/>
    <w:rsid w:val="00DE2072"/>
    <w:rsid w:val="00DE6F6D"/>
    <w:rsid w:val="00DF039F"/>
    <w:rsid w:val="00DF3635"/>
    <w:rsid w:val="00DF37BC"/>
    <w:rsid w:val="00DF3976"/>
    <w:rsid w:val="00DF683D"/>
    <w:rsid w:val="00DF7D05"/>
    <w:rsid w:val="00DF7DB3"/>
    <w:rsid w:val="00E006EA"/>
    <w:rsid w:val="00E0689B"/>
    <w:rsid w:val="00E10C64"/>
    <w:rsid w:val="00E20E22"/>
    <w:rsid w:val="00E24566"/>
    <w:rsid w:val="00E2571C"/>
    <w:rsid w:val="00E25966"/>
    <w:rsid w:val="00E319AF"/>
    <w:rsid w:val="00E31D74"/>
    <w:rsid w:val="00E3636D"/>
    <w:rsid w:val="00E37C89"/>
    <w:rsid w:val="00E4101F"/>
    <w:rsid w:val="00E41C9D"/>
    <w:rsid w:val="00E42F81"/>
    <w:rsid w:val="00E43FFB"/>
    <w:rsid w:val="00E44F53"/>
    <w:rsid w:val="00E472CF"/>
    <w:rsid w:val="00E478E5"/>
    <w:rsid w:val="00E5212D"/>
    <w:rsid w:val="00E53F61"/>
    <w:rsid w:val="00E558E5"/>
    <w:rsid w:val="00E56787"/>
    <w:rsid w:val="00E6461A"/>
    <w:rsid w:val="00E67579"/>
    <w:rsid w:val="00E67657"/>
    <w:rsid w:val="00E716F7"/>
    <w:rsid w:val="00E71A52"/>
    <w:rsid w:val="00E730A5"/>
    <w:rsid w:val="00E74BA1"/>
    <w:rsid w:val="00E84FC4"/>
    <w:rsid w:val="00E92CEB"/>
    <w:rsid w:val="00EA1EDB"/>
    <w:rsid w:val="00EA239F"/>
    <w:rsid w:val="00EA5570"/>
    <w:rsid w:val="00EA688B"/>
    <w:rsid w:val="00EA7445"/>
    <w:rsid w:val="00EA74B9"/>
    <w:rsid w:val="00EB0E39"/>
    <w:rsid w:val="00EB0F23"/>
    <w:rsid w:val="00EB1013"/>
    <w:rsid w:val="00EB2A15"/>
    <w:rsid w:val="00EB2BA9"/>
    <w:rsid w:val="00EB3D63"/>
    <w:rsid w:val="00ED23C7"/>
    <w:rsid w:val="00EE2F9D"/>
    <w:rsid w:val="00EE30A8"/>
    <w:rsid w:val="00EE30FB"/>
    <w:rsid w:val="00EE4964"/>
    <w:rsid w:val="00EE4B01"/>
    <w:rsid w:val="00EE609B"/>
    <w:rsid w:val="00EE612F"/>
    <w:rsid w:val="00EE679A"/>
    <w:rsid w:val="00EE6D38"/>
    <w:rsid w:val="00EE77D7"/>
    <w:rsid w:val="00EF5F07"/>
    <w:rsid w:val="00EF69F3"/>
    <w:rsid w:val="00EF78F5"/>
    <w:rsid w:val="00F00893"/>
    <w:rsid w:val="00F1164A"/>
    <w:rsid w:val="00F124C8"/>
    <w:rsid w:val="00F14A2D"/>
    <w:rsid w:val="00F16CE8"/>
    <w:rsid w:val="00F203F1"/>
    <w:rsid w:val="00F24A6E"/>
    <w:rsid w:val="00F25CDC"/>
    <w:rsid w:val="00F270CC"/>
    <w:rsid w:val="00F273F6"/>
    <w:rsid w:val="00F312F5"/>
    <w:rsid w:val="00F338D9"/>
    <w:rsid w:val="00F355E2"/>
    <w:rsid w:val="00F43E68"/>
    <w:rsid w:val="00F44B90"/>
    <w:rsid w:val="00F50B4C"/>
    <w:rsid w:val="00F5147C"/>
    <w:rsid w:val="00F52C31"/>
    <w:rsid w:val="00F52FAF"/>
    <w:rsid w:val="00F53D7A"/>
    <w:rsid w:val="00F60342"/>
    <w:rsid w:val="00F60545"/>
    <w:rsid w:val="00F632D0"/>
    <w:rsid w:val="00F6523C"/>
    <w:rsid w:val="00F67B54"/>
    <w:rsid w:val="00F70012"/>
    <w:rsid w:val="00F70835"/>
    <w:rsid w:val="00F72190"/>
    <w:rsid w:val="00F74C1B"/>
    <w:rsid w:val="00F74E3B"/>
    <w:rsid w:val="00F75F0D"/>
    <w:rsid w:val="00F7635E"/>
    <w:rsid w:val="00F76891"/>
    <w:rsid w:val="00F775C8"/>
    <w:rsid w:val="00F80489"/>
    <w:rsid w:val="00F84ED4"/>
    <w:rsid w:val="00F85060"/>
    <w:rsid w:val="00F87C16"/>
    <w:rsid w:val="00F91D57"/>
    <w:rsid w:val="00F921A3"/>
    <w:rsid w:val="00F93D98"/>
    <w:rsid w:val="00F958DD"/>
    <w:rsid w:val="00F96682"/>
    <w:rsid w:val="00F96FA9"/>
    <w:rsid w:val="00FA2449"/>
    <w:rsid w:val="00FA2F33"/>
    <w:rsid w:val="00FA7543"/>
    <w:rsid w:val="00FA78B2"/>
    <w:rsid w:val="00FA78FD"/>
    <w:rsid w:val="00FB072E"/>
    <w:rsid w:val="00FB0D97"/>
    <w:rsid w:val="00FB35AC"/>
    <w:rsid w:val="00FB48DB"/>
    <w:rsid w:val="00FB4903"/>
    <w:rsid w:val="00FB5E45"/>
    <w:rsid w:val="00FC10F6"/>
    <w:rsid w:val="00FC340A"/>
    <w:rsid w:val="00FC36F9"/>
    <w:rsid w:val="00FC39EF"/>
    <w:rsid w:val="00FC3B26"/>
    <w:rsid w:val="00FC49BA"/>
    <w:rsid w:val="00FC67CC"/>
    <w:rsid w:val="00FD26A2"/>
    <w:rsid w:val="00FE1F96"/>
    <w:rsid w:val="00FE437E"/>
    <w:rsid w:val="00FE4AFF"/>
    <w:rsid w:val="00FE4D1D"/>
    <w:rsid w:val="00FE4EE8"/>
    <w:rsid w:val="00FE6F42"/>
    <w:rsid w:val="00FF24D0"/>
    <w:rsid w:val="00FF2ACC"/>
    <w:rsid w:val="00FF3130"/>
    <w:rsid w:val="00FF5D30"/>
    <w:rsid w:val="00FF61B9"/>
    <w:rsid w:val="00FF6B76"/>
    <w:rsid w:val="00FF6D2B"/>
    <w:rsid w:val="00FF7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AB156"/>
  <w15:chartTrackingRefBased/>
  <w15:docId w15:val="{BA697450-9403-4D40-9175-6F59BE08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11A17"/>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1B48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C716BC"/>
    <w:pPr>
      <w:spacing w:after="0" w:line="240" w:lineRule="auto"/>
    </w:pPr>
    <w:rPr>
      <w:rFonts w:ascii="Times New Roman" w:hAnsi="Times New Roman"/>
      <w:kern w:val="0"/>
      <w:sz w:val="20"/>
      <w:szCs w:val="20"/>
      <w14:ligatures w14:val="none"/>
    </w:rPr>
  </w:style>
  <w:style w:type="character" w:customStyle="1" w:styleId="FootnoteTextChar">
    <w:name w:val="Footnote Text Char"/>
    <w:basedOn w:val="DefaultParagraphFont"/>
    <w:link w:val="FootnoteText"/>
    <w:rsid w:val="00C716BC"/>
    <w:rPr>
      <w:rFonts w:ascii="Times New Roman" w:hAnsi="Times New Roman"/>
      <w:kern w:val="0"/>
      <w:sz w:val="20"/>
      <w:szCs w:val="20"/>
      <w14:ligatures w14:val="none"/>
    </w:rPr>
  </w:style>
  <w:style w:type="character" w:styleId="FootnoteReference">
    <w:name w:val="footnote reference"/>
    <w:basedOn w:val="DefaultParagraphFont"/>
    <w:semiHidden/>
    <w:unhideWhenUsed/>
    <w:rsid w:val="00C716BC"/>
    <w:rPr>
      <w:vertAlign w:val="superscript"/>
    </w:rPr>
  </w:style>
  <w:style w:type="paragraph" w:customStyle="1" w:styleId="BlockQuote">
    <w:name w:val="Block Quote"/>
    <w:basedOn w:val="Normal"/>
    <w:rsid w:val="00C716BC"/>
    <w:pPr>
      <w:widowControl w:val="0"/>
      <w:spacing w:after="0" w:line="240" w:lineRule="auto"/>
      <w:ind w:left="360" w:right="360" w:firstLine="360"/>
      <w:jc w:val="both"/>
    </w:pPr>
    <w:rPr>
      <w:rFonts w:ascii="CG Times" w:eastAsia="Times New Roman" w:hAnsi="CG Times" w:cs="Times New Roman"/>
      <w:kern w:val="0"/>
      <w:sz w:val="21"/>
      <w:szCs w:val="19"/>
      <w14:ligatures w14:val="none"/>
    </w:rPr>
  </w:style>
  <w:style w:type="paragraph" w:styleId="Quote">
    <w:name w:val="Quote"/>
    <w:basedOn w:val="Normal"/>
    <w:next w:val="Normal"/>
    <w:link w:val="QuoteChar"/>
    <w:uiPriority w:val="29"/>
    <w:qFormat/>
    <w:rsid w:val="00C716B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716BC"/>
    <w:rPr>
      <w:i/>
      <w:iCs/>
      <w:color w:val="404040" w:themeColor="text1" w:themeTint="BF"/>
    </w:rPr>
  </w:style>
  <w:style w:type="character" w:customStyle="1" w:styleId="Heading1Char">
    <w:name w:val="Heading 1 Char"/>
    <w:basedOn w:val="DefaultParagraphFont"/>
    <w:link w:val="Heading1"/>
    <w:uiPriority w:val="9"/>
    <w:rsid w:val="00111A17"/>
    <w:rPr>
      <w:rFonts w:ascii="Times New Roman" w:eastAsia="Times New Roman" w:hAnsi="Times New Roman" w:cs="Times New Roman"/>
      <w:b/>
      <w:bCs/>
      <w:kern w:val="36"/>
      <w:sz w:val="48"/>
      <w:szCs w:val="48"/>
      <w14:ligatures w14:val="none"/>
    </w:rPr>
  </w:style>
  <w:style w:type="character" w:styleId="CommentReference">
    <w:name w:val="annotation reference"/>
    <w:basedOn w:val="DefaultParagraphFont"/>
    <w:uiPriority w:val="99"/>
    <w:semiHidden/>
    <w:unhideWhenUsed/>
    <w:rsid w:val="00AC05CC"/>
    <w:rPr>
      <w:sz w:val="16"/>
      <w:szCs w:val="16"/>
    </w:rPr>
  </w:style>
  <w:style w:type="paragraph" w:styleId="CommentText">
    <w:name w:val="annotation text"/>
    <w:basedOn w:val="Normal"/>
    <w:link w:val="CommentTextChar"/>
    <w:uiPriority w:val="99"/>
    <w:unhideWhenUsed/>
    <w:rsid w:val="00AC05CC"/>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AC05CC"/>
    <w:rPr>
      <w:kern w:val="0"/>
      <w:sz w:val="20"/>
      <w:szCs w:val="20"/>
      <w14:ligatures w14:val="none"/>
    </w:rPr>
  </w:style>
  <w:style w:type="paragraph" w:styleId="Header">
    <w:name w:val="header"/>
    <w:basedOn w:val="Normal"/>
    <w:link w:val="HeaderChar"/>
    <w:uiPriority w:val="99"/>
    <w:unhideWhenUsed/>
    <w:rsid w:val="004305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5C4"/>
  </w:style>
  <w:style w:type="paragraph" w:styleId="Footer">
    <w:name w:val="footer"/>
    <w:basedOn w:val="Normal"/>
    <w:link w:val="FooterChar"/>
    <w:uiPriority w:val="99"/>
    <w:unhideWhenUsed/>
    <w:rsid w:val="00430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5C4"/>
  </w:style>
  <w:style w:type="paragraph" w:customStyle="1" w:styleId="19">
    <w:name w:val="_19"/>
    <w:basedOn w:val="Normal"/>
    <w:rsid w:val="005E116D"/>
    <w:pPr>
      <w:widowControl w:val="0"/>
      <w:tabs>
        <w:tab w:val="left" w:pos="5760"/>
        <w:tab w:val="left" w:pos="6480"/>
        <w:tab w:val="left" w:pos="7200"/>
        <w:tab w:val="left" w:pos="7920"/>
        <w:tab w:val="left" w:pos="8640"/>
      </w:tabs>
      <w:spacing w:after="0" w:line="240" w:lineRule="auto"/>
      <w:ind w:left="5760"/>
    </w:pPr>
    <w:rPr>
      <w:rFonts w:ascii="Times New Roman" w:eastAsia="Times New Roman" w:hAnsi="Times New Roman" w:cs="Times New Roman"/>
      <w:kern w:val="0"/>
      <w:sz w:val="24"/>
      <w:szCs w:val="20"/>
      <w14:ligatures w14:val="none"/>
    </w:rPr>
  </w:style>
  <w:style w:type="character" w:customStyle="1" w:styleId="annotationr">
    <w:name w:val="annotation r"/>
    <w:basedOn w:val="DefaultParagraphFont"/>
    <w:rsid w:val="005E116D"/>
    <w:rPr>
      <w:sz w:val="16"/>
    </w:rPr>
  </w:style>
  <w:style w:type="character" w:styleId="Emphasis">
    <w:name w:val="Emphasis"/>
    <w:uiPriority w:val="20"/>
    <w:qFormat/>
    <w:rsid w:val="005E116D"/>
    <w:rPr>
      <w:i/>
      <w:iCs/>
    </w:rPr>
  </w:style>
  <w:style w:type="paragraph" w:styleId="Revision">
    <w:name w:val="Revision"/>
    <w:hidden/>
    <w:uiPriority w:val="99"/>
    <w:semiHidden/>
    <w:rsid w:val="009F3E7E"/>
    <w:pPr>
      <w:spacing w:after="0" w:line="240" w:lineRule="auto"/>
    </w:pPr>
    <w:rPr>
      <w:rFonts w:ascii="Times New Roman" w:hAnsi="Times New Roman"/>
      <w:kern w:val="0"/>
      <w:sz w:val="20"/>
      <w:szCs w:val="20"/>
      <w14:ligatures w14:val="none"/>
    </w:rPr>
  </w:style>
  <w:style w:type="paragraph" w:customStyle="1" w:styleId="content-meta-dataauthors">
    <w:name w:val="content-meta-data__authors"/>
    <w:basedOn w:val="Normal"/>
    <w:rsid w:val="009F3E7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9F3E7E"/>
    <w:rPr>
      <w:color w:val="0000FF"/>
      <w:u w:val="single"/>
    </w:rPr>
  </w:style>
  <w:style w:type="paragraph" w:styleId="CommentSubject">
    <w:name w:val="annotation subject"/>
    <w:basedOn w:val="CommentText"/>
    <w:next w:val="CommentText"/>
    <w:link w:val="CommentSubjectChar"/>
    <w:uiPriority w:val="99"/>
    <w:semiHidden/>
    <w:unhideWhenUsed/>
    <w:rsid w:val="009F3E7E"/>
    <w:rPr>
      <w:rFonts w:ascii="Times New Roman" w:hAnsi="Times New Roman"/>
      <w:b/>
      <w:bCs/>
    </w:rPr>
  </w:style>
  <w:style w:type="character" w:customStyle="1" w:styleId="CommentSubjectChar">
    <w:name w:val="Comment Subject Char"/>
    <w:basedOn w:val="CommentTextChar"/>
    <w:link w:val="CommentSubject"/>
    <w:uiPriority w:val="99"/>
    <w:semiHidden/>
    <w:rsid w:val="009F3E7E"/>
    <w:rPr>
      <w:rFonts w:ascii="Times New Roman" w:hAnsi="Times New Roman"/>
      <w:b/>
      <w:bCs/>
      <w:kern w:val="0"/>
      <w:sz w:val="20"/>
      <w:szCs w:val="20"/>
      <w14:ligatures w14:val="none"/>
    </w:rPr>
  </w:style>
  <w:style w:type="paragraph" w:styleId="BalloonText">
    <w:name w:val="Balloon Text"/>
    <w:basedOn w:val="Normal"/>
    <w:link w:val="BalloonTextChar"/>
    <w:uiPriority w:val="99"/>
    <w:semiHidden/>
    <w:unhideWhenUsed/>
    <w:rsid w:val="009F3E7E"/>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9F3E7E"/>
    <w:rPr>
      <w:rFonts w:ascii="Segoe UI" w:hAnsi="Segoe UI" w:cs="Segoe UI"/>
      <w:kern w:val="0"/>
      <w:sz w:val="18"/>
      <w:szCs w:val="18"/>
      <w14:ligatures w14:val="none"/>
    </w:rPr>
  </w:style>
  <w:style w:type="paragraph" w:styleId="BodyText">
    <w:name w:val="Body Text"/>
    <w:basedOn w:val="Normal"/>
    <w:link w:val="BodyTextChar"/>
    <w:uiPriority w:val="1"/>
    <w:qFormat/>
    <w:rsid w:val="009F3E7E"/>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9F3E7E"/>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9F3E7E"/>
    <w:pPr>
      <w:ind w:left="720"/>
      <w:contextualSpacing/>
    </w:pPr>
    <w:rPr>
      <w:rFonts w:ascii="Times New Roman" w:hAnsi="Times New Roman"/>
      <w:kern w:val="0"/>
      <w:sz w:val="20"/>
      <w:szCs w:val="20"/>
      <w14:ligatures w14:val="none"/>
    </w:rPr>
  </w:style>
  <w:style w:type="character" w:styleId="PlaceholderText">
    <w:name w:val="Placeholder Text"/>
    <w:basedOn w:val="DefaultParagraphFont"/>
    <w:uiPriority w:val="99"/>
    <w:semiHidden/>
    <w:rsid w:val="009F3E7E"/>
    <w:rPr>
      <w:color w:val="808080"/>
    </w:rPr>
  </w:style>
  <w:style w:type="character" w:customStyle="1" w:styleId="UnresolvedMention1">
    <w:name w:val="Unresolved Mention1"/>
    <w:basedOn w:val="DefaultParagraphFont"/>
    <w:uiPriority w:val="99"/>
    <w:semiHidden/>
    <w:unhideWhenUsed/>
    <w:rsid w:val="009F3E7E"/>
    <w:rPr>
      <w:color w:val="605E5C"/>
      <w:shd w:val="clear" w:color="auto" w:fill="E1DFDD"/>
    </w:rPr>
  </w:style>
  <w:style w:type="character" w:customStyle="1" w:styleId="UnresolvedMention2">
    <w:name w:val="Unresolved Mention2"/>
    <w:basedOn w:val="DefaultParagraphFont"/>
    <w:uiPriority w:val="99"/>
    <w:semiHidden/>
    <w:unhideWhenUsed/>
    <w:rsid w:val="009D651A"/>
    <w:rPr>
      <w:color w:val="605E5C"/>
      <w:shd w:val="clear" w:color="auto" w:fill="E1DFDD"/>
    </w:rPr>
  </w:style>
  <w:style w:type="character" w:customStyle="1" w:styleId="UnresolvedMention3">
    <w:name w:val="Unresolved Mention3"/>
    <w:basedOn w:val="DefaultParagraphFont"/>
    <w:uiPriority w:val="99"/>
    <w:semiHidden/>
    <w:unhideWhenUsed/>
    <w:rsid w:val="00643C6A"/>
    <w:rPr>
      <w:color w:val="605E5C"/>
      <w:shd w:val="clear" w:color="auto" w:fill="E1DFDD"/>
    </w:rPr>
  </w:style>
  <w:style w:type="character" w:customStyle="1" w:styleId="UnresolvedMention4">
    <w:name w:val="Unresolved Mention4"/>
    <w:basedOn w:val="DefaultParagraphFont"/>
    <w:uiPriority w:val="99"/>
    <w:semiHidden/>
    <w:unhideWhenUsed/>
    <w:rsid w:val="00E67657"/>
    <w:rPr>
      <w:color w:val="605E5C"/>
      <w:shd w:val="clear" w:color="auto" w:fill="E1DFDD"/>
    </w:rPr>
  </w:style>
  <w:style w:type="character" w:customStyle="1" w:styleId="sssh">
    <w:name w:val="ss_sh"/>
    <w:basedOn w:val="DefaultParagraphFont"/>
    <w:rsid w:val="00856A34"/>
  </w:style>
  <w:style w:type="character" w:customStyle="1" w:styleId="Heading2Char">
    <w:name w:val="Heading 2 Char"/>
    <w:basedOn w:val="DefaultParagraphFont"/>
    <w:link w:val="Heading2"/>
    <w:uiPriority w:val="9"/>
    <w:rsid w:val="001B486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1B486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ote">
    <w:name w:val="note"/>
    <w:basedOn w:val="Normal"/>
    <w:rsid w:val="001B486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UnresolvedMention5">
    <w:name w:val="Unresolved Mention5"/>
    <w:basedOn w:val="DefaultParagraphFont"/>
    <w:uiPriority w:val="99"/>
    <w:semiHidden/>
    <w:unhideWhenUsed/>
    <w:rsid w:val="00506C6D"/>
    <w:rPr>
      <w:color w:val="605E5C"/>
      <w:shd w:val="clear" w:color="auto" w:fill="E1DFDD"/>
    </w:rPr>
  </w:style>
  <w:style w:type="character" w:styleId="UnresolvedMention">
    <w:name w:val="Unresolved Mention"/>
    <w:basedOn w:val="DefaultParagraphFont"/>
    <w:uiPriority w:val="99"/>
    <w:semiHidden/>
    <w:unhideWhenUsed/>
    <w:rsid w:val="00011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327020">
      <w:bodyDiv w:val="1"/>
      <w:marLeft w:val="0"/>
      <w:marRight w:val="0"/>
      <w:marTop w:val="0"/>
      <w:marBottom w:val="0"/>
      <w:divBdr>
        <w:top w:val="none" w:sz="0" w:space="0" w:color="auto"/>
        <w:left w:val="none" w:sz="0" w:space="0" w:color="auto"/>
        <w:bottom w:val="none" w:sz="0" w:space="0" w:color="auto"/>
        <w:right w:val="none" w:sz="0" w:space="0" w:color="auto"/>
      </w:divBdr>
    </w:div>
    <w:div w:id="304435233">
      <w:bodyDiv w:val="1"/>
      <w:marLeft w:val="0"/>
      <w:marRight w:val="0"/>
      <w:marTop w:val="0"/>
      <w:marBottom w:val="0"/>
      <w:divBdr>
        <w:top w:val="none" w:sz="0" w:space="0" w:color="auto"/>
        <w:left w:val="none" w:sz="0" w:space="0" w:color="auto"/>
        <w:bottom w:val="none" w:sz="0" w:space="0" w:color="auto"/>
        <w:right w:val="none" w:sz="0" w:space="0" w:color="auto"/>
      </w:divBdr>
    </w:div>
    <w:div w:id="410203867">
      <w:bodyDiv w:val="1"/>
      <w:marLeft w:val="0"/>
      <w:marRight w:val="0"/>
      <w:marTop w:val="0"/>
      <w:marBottom w:val="0"/>
      <w:divBdr>
        <w:top w:val="none" w:sz="0" w:space="0" w:color="auto"/>
        <w:left w:val="none" w:sz="0" w:space="0" w:color="auto"/>
        <w:bottom w:val="none" w:sz="0" w:space="0" w:color="auto"/>
        <w:right w:val="none" w:sz="0" w:space="0" w:color="auto"/>
      </w:divBdr>
    </w:div>
    <w:div w:id="572545366">
      <w:bodyDiv w:val="1"/>
      <w:marLeft w:val="0"/>
      <w:marRight w:val="0"/>
      <w:marTop w:val="0"/>
      <w:marBottom w:val="0"/>
      <w:divBdr>
        <w:top w:val="none" w:sz="0" w:space="0" w:color="auto"/>
        <w:left w:val="none" w:sz="0" w:space="0" w:color="auto"/>
        <w:bottom w:val="none" w:sz="0" w:space="0" w:color="auto"/>
        <w:right w:val="none" w:sz="0" w:space="0" w:color="auto"/>
      </w:divBdr>
      <w:divsChild>
        <w:div w:id="293098104">
          <w:marLeft w:val="0"/>
          <w:marRight w:val="0"/>
          <w:marTop w:val="0"/>
          <w:marBottom w:val="0"/>
          <w:divBdr>
            <w:top w:val="none" w:sz="0" w:space="0" w:color="auto"/>
            <w:left w:val="none" w:sz="0" w:space="0" w:color="auto"/>
            <w:bottom w:val="none" w:sz="0" w:space="0" w:color="auto"/>
            <w:right w:val="none" w:sz="0" w:space="0" w:color="auto"/>
          </w:divBdr>
        </w:div>
        <w:div w:id="999381032">
          <w:marLeft w:val="0"/>
          <w:marRight w:val="0"/>
          <w:marTop w:val="0"/>
          <w:marBottom w:val="0"/>
          <w:divBdr>
            <w:top w:val="none" w:sz="0" w:space="0" w:color="auto"/>
            <w:left w:val="none" w:sz="0" w:space="0" w:color="auto"/>
            <w:bottom w:val="none" w:sz="0" w:space="0" w:color="auto"/>
            <w:right w:val="none" w:sz="0" w:space="0" w:color="auto"/>
          </w:divBdr>
          <w:divsChild>
            <w:div w:id="127359054">
              <w:marLeft w:val="0"/>
              <w:marRight w:val="0"/>
              <w:marTop w:val="0"/>
              <w:marBottom w:val="0"/>
              <w:divBdr>
                <w:top w:val="none" w:sz="0" w:space="0" w:color="auto"/>
                <w:left w:val="none" w:sz="0" w:space="0" w:color="auto"/>
                <w:bottom w:val="none" w:sz="0" w:space="0" w:color="auto"/>
                <w:right w:val="none" w:sz="0" w:space="0" w:color="auto"/>
              </w:divBdr>
              <w:divsChild>
                <w:div w:id="1987657867">
                  <w:marLeft w:val="0"/>
                  <w:marRight w:val="0"/>
                  <w:marTop w:val="0"/>
                  <w:marBottom w:val="0"/>
                  <w:divBdr>
                    <w:top w:val="none" w:sz="0" w:space="0" w:color="auto"/>
                    <w:left w:val="none" w:sz="0" w:space="0" w:color="auto"/>
                    <w:bottom w:val="none" w:sz="0" w:space="0" w:color="auto"/>
                    <w:right w:val="none" w:sz="0" w:space="0" w:color="auto"/>
                  </w:divBdr>
                </w:div>
                <w:div w:id="91824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46279">
      <w:bodyDiv w:val="1"/>
      <w:marLeft w:val="0"/>
      <w:marRight w:val="0"/>
      <w:marTop w:val="0"/>
      <w:marBottom w:val="0"/>
      <w:divBdr>
        <w:top w:val="none" w:sz="0" w:space="0" w:color="auto"/>
        <w:left w:val="none" w:sz="0" w:space="0" w:color="auto"/>
        <w:bottom w:val="none" w:sz="0" w:space="0" w:color="auto"/>
        <w:right w:val="none" w:sz="0" w:space="0" w:color="auto"/>
      </w:divBdr>
    </w:div>
    <w:div w:id="671227815">
      <w:bodyDiv w:val="1"/>
      <w:marLeft w:val="0"/>
      <w:marRight w:val="0"/>
      <w:marTop w:val="0"/>
      <w:marBottom w:val="0"/>
      <w:divBdr>
        <w:top w:val="none" w:sz="0" w:space="0" w:color="auto"/>
        <w:left w:val="none" w:sz="0" w:space="0" w:color="auto"/>
        <w:bottom w:val="none" w:sz="0" w:space="0" w:color="auto"/>
        <w:right w:val="none" w:sz="0" w:space="0" w:color="auto"/>
      </w:divBdr>
    </w:div>
    <w:div w:id="811293962">
      <w:bodyDiv w:val="1"/>
      <w:marLeft w:val="0"/>
      <w:marRight w:val="0"/>
      <w:marTop w:val="0"/>
      <w:marBottom w:val="0"/>
      <w:divBdr>
        <w:top w:val="none" w:sz="0" w:space="0" w:color="auto"/>
        <w:left w:val="none" w:sz="0" w:space="0" w:color="auto"/>
        <w:bottom w:val="none" w:sz="0" w:space="0" w:color="auto"/>
        <w:right w:val="none" w:sz="0" w:space="0" w:color="auto"/>
      </w:divBdr>
    </w:div>
    <w:div w:id="1001199084">
      <w:bodyDiv w:val="1"/>
      <w:marLeft w:val="0"/>
      <w:marRight w:val="0"/>
      <w:marTop w:val="0"/>
      <w:marBottom w:val="0"/>
      <w:divBdr>
        <w:top w:val="none" w:sz="0" w:space="0" w:color="auto"/>
        <w:left w:val="none" w:sz="0" w:space="0" w:color="auto"/>
        <w:bottom w:val="none" w:sz="0" w:space="0" w:color="auto"/>
        <w:right w:val="none" w:sz="0" w:space="0" w:color="auto"/>
      </w:divBdr>
    </w:div>
    <w:div w:id="1068571072">
      <w:bodyDiv w:val="1"/>
      <w:marLeft w:val="0"/>
      <w:marRight w:val="0"/>
      <w:marTop w:val="0"/>
      <w:marBottom w:val="0"/>
      <w:divBdr>
        <w:top w:val="none" w:sz="0" w:space="0" w:color="auto"/>
        <w:left w:val="none" w:sz="0" w:space="0" w:color="auto"/>
        <w:bottom w:val="none" w:sz="0" w:space="0" w:color="auto"/>
        <w:right w:val="none" w:sz="0" w:space="0" w:color="auto"/>
      </w:divBdr>
      <w:divsChild>
        <w:div w:id="51656182">
          <w:marLeft w:val="0"/>
          <w:marRight w:val="0"/>
          <w:marTop w:val="0"/>
          <w:marBottom w:val="195"/>
          <w:divBdr>
            <w:top w:val="none" w:sz="0" w:space="0" w:color="auto"/>
            <w:left w:val="none" w:sz="0" w:space="0" w:color="auto"/>
            <w:bottom w:val="none" w:sz="0" w:space="0" w:color="auto"/>
            <w:right w:val="none" w:sz="0" w:space="0" w:color="auto"/>
          </w:divBdr>
        </w:div>
        <w:div w:id="1082871688">
          <w:marLeft w:val="0"/>
          <w:marRight w:val="0"/>
          <w:marTop w:val="0"/>
          <w:marBottom w:val="0"/>
          <w:divBdr>
            <w:top w:val="none" w:sz="0" w:space="0" w:color="auto"/>
            <w:left w:val="none" w:sz="0" w:space="0" w:color="auto"/>
            <w:bottom w:val="none" w:sz="0" w:space="0" w:color="auto"/>
            <w:right w:val="none" w:sz="0" w:space="0" w:color="auto"/>
          </w:divBdr>
        </w:div>
      </w:divsChild>
    </w:div>
    <w:div w:id="1242791345">
      <w:bodyDiv w:val="1"/>
      <w:marLeft w:val="0"/>
      <w:marRight w:val="0"/>
      <w:marTop w:val="0"/>
      <w:marBottom w:val="0"/>
      <w:divBdr>
        <w:top w:val="none" w:sz="0" w:space="0" w:color="auto"/>
        <w:left w:val="none" w:sz="0" w:space="0" w:color="auto"/>
        <w:bottom w:val="none" w:sz="0" w:space="0" w:color="auto"/>
        <w:right w:val="none" w:sz="0" w:space="0" w:color="auto"/>
      </w:divBdr>
    </w:div>
    <w:div w:id="1667129050">
      <w:bodyDiv w:val="1"/>
      <w:marLeft w:val="0"/>
      <w:marRight w:val="0"/>
      <w:marTop w:val="0"/>
      <w:marBottom w:val="0"/>
      <w:divBdr>
        <w:top w:val="none" w:sz="0" w:space="0" w:color="auto"/>
        <w:left w:val="none" w:sz="0" w:space="0" w:color="auto"/>
        <w:bottom w:val="none" w:sz="0" w:space="0" w:color="auto"/>
        <w:right w:val="none" w:sz="0" w:space="0" w:color="auto"/>
      </w:divBdr>
    </w:div>
    <w:div w:id="1915124521">
      <w:bodyDiv w:val="1"/>
      <w:marLeft w:val="0"/>
      <w:marRight w:val="0"/>
      <w:marTop w:val="0"/>
      <w:marBottom w:val="0"/>
      <w:divBdr>
        <w:top w:val="none" w:sz="0" w:space="0" w:color="auto"/>
        <w:left w:val="none" w:sz="0" w:space="0" w:color="auto"/>
        <w:bottom w:val="none" w:sz="0" w:space="0" w:color="auto"/>
        <w:right w:val="none" w:sz="0" w:space="0" w:color="auto"/>
      </w:divBdr>
      <w:divsChild>
        <w:div w:id="920220426">
          <w:marLeft w:val="0"/>
          <w:marRight w:val="0"/>
          <w:marTop w:val="0"/>
          <w:marBottom w:val="0"/>
          <w:divBdr>
            <w:top w:val="none" w:sz="0" w:space="0" w:color="auto"/>
            <w:left w:val="none" w:sz="0" w:space="0" w:color="auto"/>
            <w:bottom w:val="none" w:sz="0" w:space="0" w:color="auto"/>
            <w:right w:val="none" w:sz="0" w:space="0" w:color="auto"/>
          </w:divBdr>
        </w:div>
        <w:div w:id="1184394674">
          <w:marLeft w:val="0"/>
          <w:marRight w:val="0"/>
          <w:marTop w:val="0"/>
          <w:marBottom w:val="0"/>
          <w:divBdr>
            <w:top w:val="none" w:sz="0" w:space="0" w:color="auto"/>
            <w:left w:val="none" w:sz="0" w:space="0" w:color="auto"/>
            <w:bottom w:val="none" w:sz="0" w:space="0" w:color="auto"/>
            <w:right w:val="none" w:sz="0" w:space="0" w:color="auto"/>
          </w:divBdr>
          <w:divsChild>
            <w:div w:id="1111242667">
              <w:marLeft w:val="0"/>
              <w:marRight w:val="0"/>
              <w:marTop w:val="0"/>
              <w:marBottom w:val="0"/>
              <w:divBdr>
                <w:top w:val="none" w:sz="0" w:space="0" w:color="auto"/>
                <w:left w:val="none" w:sz="0" w:space="0" w:color="auto"/>
                <w:bottom w:val="none" w:sz="0" w:space="0" w:color="auto"/>
                <w:right w:val="none" w:sz="0" w:space="0" w:color="auto"/>
              </w:divBdr>
              <w:divsChild>
                <w:div w:id="1908762848">
                  <w:marLeft w:val="0"/>
                  <w:marRight w:val="0"/>
                  <w:marTop w:val="0"/>
                  <w:marBottom w:val="0"/>
                  <w:divBdr>
                    <w:top w:val="none" w:sz="0" w:space="0" w:color="auto"/>
                    <w:left w:val="none" w:sz="0" w:space="0" w:color="auto"/>
                    <w:bottom w:val="none" w:sz="0" w:space="0" w:color="auto"/>
                    <w:right w:val="none" w:sz="0" w:space="0" w:color="auto"/>
                  </w:divBdr>
                </w:div>
                <w:div w:id="19041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2dd4023f-6d01-4292-a52a-c04ff53b1d22">
      <Terms xmlns="http://schemas.microsoft.com/office/infopath/2007/PartnerControls"/>
    </lcf76f155ced4ddcb4097134ff3c332f>
    <_ip_UnifiedCompliancePolicyProperties xmlns="http://schemas.microsoft.com/sharepoint/v3" xsi:nil="true"/>
    <TaxCatchAll xmlns="2d93c42e-f6b2-4022-bcac-4cad79b7fb2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D58881DFA864346AA1BF4ADF5D82A9B" ma:contentTypeVersion="20" ma:contentTypeDescription="Create a new document." ma:contentTypeScope="" ma:versionID="7705415d5d9d78dca07fb1f355f1eaae">
  <xsd:schema xmlns:xsd="http://www.w3.org/2001/XMLSchema" xmlns:xs="http://www.w3.org/2001/XMLSchema" xmlns:p="http://schemas.microsoft.com/office/2006/metadata/properties" xmlns:ns1="http://schemas.microsoft.com/sharepoint/v3" xmlns:ns2="2dd4023f-6d01-4292-a52a-c04ff53b1d22" xmlns:ns3="2d93c42e-f6b2-4022-bcac-4cad79b7fb27" targetNamespace="http://schemas.microsoft.com/office/2006/metadata/properties" ma:root="true" ma:fieldsID="20606d9218b34d74879bdac54a035422" ns1:_="" ns2:_="" ns3:_="">
    <xsd:import namespace="http://schemas.microsoft.com/sharepoint/v3"/>
    <xsd:import namespace="2dd4023f-6d01-4292-a52a-c04ff53b1d22"/>
    <xsd:import namespace="2d93c42e-f6b2-4022-bcac-4cad79b7fb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d4023f-6d01-4292-a52a-c04ff53b1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ec61d7-21c4-46ea-8069-5c692c33a4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93c42e-f6b2-4022-bcac-4cad79b7fb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d0e7b8-e50c-40f3-80c4-05b351b3f97f}" ma:internalName="TaxCatchAll" ma:showField="CatchAllData" ma:web="2d93c42e-f6b2-4022-bcac-4cad79b7fb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026ECB-D614-4B8A-B6B9-62D9E9A05E72}">
  <ds:schemaRefs>
    <ds:schemaRef ds:uri="http://schemas.microsoft.com/office/2006/metadata/properties"/>
    <ds:schemaRef ds:uri="http://schemas.microsoft.com/office/infopath/2007/PartnerControls"/>
    <ds:schemaRef ds:uri="ca06a6a2-cf47-4900-89ac-910412c79c7b"/>
  </ds:schemaRefs>
</ds:datastoreItem>
</file>

<file path=customXml/itemProps2.xml><?xml version="1.0" encoding="utf-8"?>
<ds:datastoreItem xmlns:ds="http://schemas.openxmlformats.org/officeDocument/2006/customXml" ds:itemID="{ECF2BD13-6E71-4BE5-A0B6-2DA313E84F1F}">
  <ds:schemaRefs>
    <ds:schemaRef ds:uri="http://schemas.openxmlformats.org/officeDocument/2006/bibliography"/>
  </ds:schemaRefs>
</ds:datastoreItem>
</file>

<file path=customXml/itemProps3.xml><?xml version="1.0" encoding="utf-8"?>
<ds:datastoreItem xmlns:ds="http://schemas.openxmlformats.org/officeDocument/2006/customXml" ds:itemID="{86C33515-10B8-4DEA-9EED-6E3981E0732C}"/>
</file>

<file path=customXml/itemProps4.xml><?xml version="1.0" encoding="utf-8"?>
<ds:datastoreItem xmlns:ds="http://schemas.openxmlformats.org/officeDocument/2006/customXml" ds:itemID="{F0AC71B8-B8CE-4181-89F7-B2D6107894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25239</Words>
  <Characters>143868</Characters>
  <Application>Microsoft Office Word</Application>
  <DocSecurity>0</DocSecurity>
  <Lines>1198</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Menesh Patel 2</dc:creator>
  <cp:keywords/>
  <dc:description/>
  <cp:lastModifiedBy>Menesh Patel</cp:lastModifiedBy>
  <cp:revision>2</cp:revision>
  <cp:lastPrinted>2024-10-25T20:25:00Z</cp:lastPrinted>
  <dcterms:created xsi:type="dcterms:W3CDTF">2024-10-25T20:37:00Z</dcterms:created>
  <dcterms:modified xsi:type="dcterms:W3CDTF">2024-10-25T20:37:00Z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0x0101005D58881DFA864346AA1BF4ADF5D82A9B</vt:lpwstr>
  </property>
</Properties>
</file>