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6B244" w14:textId="21313999" w:rsidR="00736E65" w:rsidRPr="00062B0E" w:rsidRDefault="00736E65" w:rsidP="00062B0E">
      <w:pPr>
        <w:spacing w:line="360" w:lineRule="auto"/>
        <w:jc w:val="center"/>
        <w:rPr>
          <w:rFonts w:asciiTheme="majorBidi" w:hAnsiTheme="majorBidi" w:cstheme="majorBidi"/>
          <w:b/>
          <w:bCs/>
          <w:sz w:val="24"/>
          <w:szCs w:val="24"/>
        </w:rPr>
      </w:pPr>
      <w:r w:rsidRPr="00062B0E">
        <w:rPr>
          <w:rFonts w:asciiTheme="majorBidi" w:hAnsiTheme="majorBidi" w:cstheme="majorBidi"/>
          <w:b/>
          <w:bCs/>
          <w:sz w:val="24"/>
          <w:szCs w:val="24"/>
        </w:rPr>
        <w:t>Summary Report</w:t>
      </w:r>
    </w:p>
    <w:p w14:paraId="180AE031" w14:textId="77777777" w:rsidR="00736E65" w:rsidRPr="00062B0E" w:rsidRDefault="00736E65" w:rsidP="00062B0E">
      <w:pPr>
        <w:spacing w:line="360" w:lineRule="auto"/>
        <w:jc w:val="center"/>
        <w:rPr>
          <w:rFonts w:asciiTheme="majorBidi" w:hAnsiTheme="majorBidi" w:cstheme="majorBidi"/>
          <w:b/>
          <w:bCs/>
          <w:sz w:val="24"/>
          <w:szCs w:val="24"/>
        </w:rPr>
      </w:pPr>
    </w:p>
    <w:p w14:paraId="73D709DB" w14:textId="33C35272" w:rsidR="00736E65" w:rsidRPr="00062B0E" w:rsidRDefault="00736E65" w:rsidP="00062B0E">
      <w:pPr>
        <w:spacing w:line="360" w:lineRule="auto"/>
        <w:jc w:val="center"/>
        <w:rPr>
          <w:rFonts w:asciiTheme="majorBidi" w:hAnsiTheme="majorBidi" w:cstheme="majorBidi"/>
          <w:b/>
          <w:bCs/>
          <w:sz w:val="24"/>
          <w:szCs w:val="24"/>
        </w:rPr>
      </w:pPr>
      <w:r w:rsidRPr="00062B0E">
        <w:rPr>
          <w:rFonts w:asciiTheme="majorBidi" w:hAnsiTheme="majorBidi" w:cstheme="majorBidi"/>
          <w:b/>
          <w:bCs/>
          <w:sz w:val="24"/>
          <w:szCs w:val="24"/>
        </w:rPr>
        <w:t>The History of Business Law and Governance</w:t>
      </w:r>
    </w:p>
    <w:p w14:paraId="6B365137" w14:textId="77777777" w:rsidR="00736E65" w:rsidRPr="00062B0E" w:rsidRDefault="00736E65" w:rsidP="00062B0E">
      <w:pPr>
        <w:spacing w:line="360" w:lineRule="auto"/>
        <w:jc w:val="center"/>
        <w:rPr>
          <w:rFonts w:asciiTheme="majorBidi" w:hAnsiTheme="majorBidi" w:cstheme="majorBidi"/>
          <w:b/>
          <w:bCs/>
          <w:sz w:val="24"/>
          <w:szCs w:val="24"/>
        </w:rPr>
      </w:pPr>
    </w:p>
    <w:p w14:paraId="15C5B20F" w14:textId="7B877614" w:rsidR="00736E65" w:rsidRPr="00062B0E" w:rsidRDefault="00736E65" w:rsidP="00062B0E">
      <w:pPr>
        <w:spacing w:line="360" w:lineRule="auto"/>
        <w:jc w:val="center"/>
        <w:rPr>
          <w:rFonts w:asciiTheme="majorBidi" w:hAnsiTheme="majorBidi" w:cstheme="majorBidi"/>
          <w:b/>
          <w:bCs/>
          <w:sz w:val="24"/>
          <w:szCs w:val="24"/>
        </w:rPr>
      </w:pPr>
      <w:r w:rsidRPr="00062B0E">
        <w:rPr>
          <w:rFonts w:asciiTheme="majorBidi" w:hAnsiTheme="majorBidi" w:cstheme="majorBidi"/>
          <w:b/>
          <w:bCs/>
          <w:sz w:val="24"/>
          <w:szCs w:val="24"/>
        </w:rPr>
        <w:t>Conference Date – 18 January 2024</w:t>
      </w:r>
    </w:p>
    <w:p w14:paraId="6414374E" w14:textId="16C9E5A3" w:rsidR="00736E65" w:rsidRPr="00062B0E" w:rsidRDefault="00736E65" w:rsidP="00062B0E">
      <w:pPr>
        <w:spacing w:line="360" w:lineRule="auto"/>
        <w:jc w:val="center"/>
        <w:rPr>
          <w:rFonts w:asciiTheme="majorBidi" w:hAnsiTheme="majorBidi" w:cstheme="majorBidi"/>
          <w:b/>
          <w:bCs/>
          <w:sz w:val="24"/>
          <w:szCs w:val="24"/>
        </w:rPr>
      </w:pPr>
      <w:r w:rsidRPr="00062B0E">
        <w:rPr>
          <w:rFonts w:asciiTheme="majorBidi" w:hAnsiTheme="majorBidi" w:cstheme="majorBidi"/>
          <w:b/>
          <w:bCs/>
          <w:sz w:val="24"/>
          <w:szCs w:val="24"/>
        </w:rPr>
        <w:t>Venue – Monash University City Chambers, 555 Lonsdale St, Melbourne</w:t>
      </w:r>
    </w:p>
    <w:p w14:paraId="4B581E2D" w14:textId="77777777" w:rsidR="00FB2485" w:rsidRPr="00062B0E" w:rsidRDefault="00FB2485" w:rsidP="00062B0E">
      <w:pPr>
        <w:spacing w:line="360" w:lineRule="auto"/>
        <w:jc w:val="both"/>
        <w:rPr>
          <w:rFonts w:asciiTheme="majorBidi" w:hAnsiTheme="majorBidi" w:cstheme="majorBidi"/>
          <w:b/>
          <w:bCs/>
          <w:sz w:val="24"/>
          <w:szCs w:val="24"/>
        </w:rPr>
      </w:pPr>
    </w:p>
    <w:p w14:paraId="23132894" w14:textId="2975D2A8" w:rsidR="00736E65" w:rsidRPr="00062B0E" w:rsidRDefault="00736E65" w:rsidP="00062B0E">
      <w:pPr>
        <w:spacing w:line="360" w:lineRule="auto"/>
        <w:jc w:val="both"/>
        <w:rPr>
          <w:rFonts w:asciiTheme="majorBidi" w:hAnsiTheme="majorBidi" w:cstheme="majorBidi"/>
          <w:sz w:val="24"/>
          <w:szCs w:val="24"/>
        </w:rPr>
      </w:pPr>
      <w:r w:rsidRPr="00062B0E">
        <w:rPr>
          <w:rFonts w:asciiTheme="majorBidi" w:hAnsiTheme="majorBidi" w:cstheme="majorBidi"/>
          <w:sz w:val="24"/>
          <w:szCs w:val="24"/>
        </w:rPr>
        <w:t>Organised by Monash University Centre for Commercial Law and Regulatory Studies (CLARS)</w:t>
      </w:r>
      <w:r w:rsidR="004F6FDA" w:rsidRPr="00062B0E">
        <w:rPr>
          <w:rFonts w:asciiTheme="majorBidi" w:hAnsiTheme="majorBidi" w:cstheme="majorBidi"/>
          <w:sz w:val="24"/>
          <w:szCs w:val="24"/>
        </w:rPr>
        <w:t>, Melbourne, Australia</w:t>
      </w:r>
      <w:r w:rsidRPr="00062B0E">
        <w:rPr>
          <w:rFonts w:asciiTheme="majorBidi" w:hAnsiTheme="majorBidi" w:cstheme="majorBidi"/>
          <w:sz w:val="24"/>
          <w:szCs w:val="24"/>
        </w:rPr>
        <w:t xml:space="preserve">; University of Auckland </w:t>
      </w:r>
      <w:proofErr w:type="spellStart"/>
      <w:r w:rsidRPr="00062B0E">
        <w:rPr>
          <w:rFonts w:asciiTheme="majorBidi" w:hAnsiTheme="majorBidi" w:cstheme="majorBidi"/>
          <w:sz w:val="24"/>
          <w:szCs w:val="24"/>
        </w:rPr>
        <w:t>Waipapa</w:t>
      </w:r>
      <w:proofErr w:type="spellEnd"/>
      <w:r w:rsidRPr="00062B0E">
        <w:rPr>
          <w:rFonts w:asciiTheme="majorBidi" w:hAnsiTheme="majorBidi" w:cstheme="majorBidi"/>
          <w:sz w:val="24"/>
          <w:szCs w:val="24"/>
        </w:rPr>
        <w:t xml:space="preserve"> </w:t>
      </w:r>
      <w:proofErr w:type="spellStart"/>
      <w:r w:rsidRPr="00062B0E">
        <w:rPr>
          <w:rFonts w:asciiTheme="majorBidi" w:hAnsiTheme="majorBidi" w:cstheme="majorBidi"/>
          <w:sz w:val="24"/>
          <w:szCs w:val="24"/>
        </w:rPr>
        <w:t>Taumata</w:t>
      </w:r>
      <w:proofErr w:type="spellEnd"/>
      <w:r w:rsidRPr="00062B0E">
        <w:rPr>
          <w:rFonts w:asciiTheme="majorBidi" w:hAnsiTheme="majorBidi" w:cstheme="majorBidi"/>
          <w:sz w:val="24"/>
          <w:szCs w:val="24"/>
        </w:rPr>
        <w:t xml:space="preserve"> Rau Business School, New Zealand; and Queen’s University Belfast, UK, in collaboration with the European Corporate Governance Institute (ECGI).</w:t>
      </w:r>
    </w:p>
    <w:p w14:paraId="7BA0006B" w14:textId="77777777" w:rsidR="00736E65" w:rsidRPr="00062B0E" w:rsidRDefault="00736E65" w:rsidP="00062B0E">
      <w:pPr>
        <w:spacing w:line="360" w:lineRule="auto"/>
        <w:jc w:val="both"/>
        <w:rPr>
          <w:rFonts w:asciiTheme="majorBidi" w:hAnsiTheme="majorBidi" w:cstheme="majorBidi"/>
          <w:sz w:val="24"/>
          <w:szCs w:val="24"/>
        </w:rPr>
      </w:pPr>
    </w:p>
    <w:p w14:paraId="73E85734" w14:textId="6E0D62FB" w:rsidR="00736E65" w:rsidRPr="00062B0E" w:rsidRDefault="00D15917" w:rsidP="00062B0E">
      <w:pPr>
        <w:spacing w:line="360" w:lineRule="auto"/>
        <w:jc w:val="both"/>
        <w:rPr>
          <w:rFonts w:asciiTheme="majorBidi" w:hAnsiTheme="majorBidi" w:cstheme="majorBidi"/>
          <w:sz w:val="24"/>
          <w:szCs w:val="24"/>
        </w:rPr>
      </w:pPr>
      <w:r w:rsidRPr="00062B0E">
        <w:rPr>
          <w:rFonts w:asciiTheme="majorBidi" w:hAnsiTheme="majorBidi" w:cstheme="majorBidi"/>
          <w:sz w:val="24"/>
          <w:szCs w:val="24"/>
        </w:rPr>
        <w:t>[</w:t>
      </w:r>
      <w:r w:rsidR="00736E65" w:rsidRPr="00062B0E">
        <w:rPr>
          <w:rFonts w:asciiTheme="majorBidi" w:hAnsiTheme="majorBidi" w:cstheme="majorBidi"/>
          <w:sz w:val="24"/>
          <w:szCs w:val="24"/>
        </w:rPr>
        <w:t>Insert logos</w:t>
      </w:r>
      <w:r w:rsidRPr="00062B0E">
        <w:rPr>
          <w:rFonts w:asciiTheme="majorBidi" w:hAnsiTheme="majorBidi" w:cstheme="majorBidi"/>
          <w:sz w:val="24"/>
          <w:szCs w:val="24"/>
        </w:rPr>
        <w:t>]</w:t>
      </w:r>
    </w:p>
    <w:p w14:paraId="1F09761C" w14:textId="77777777" w:rsidR="00736E65" w:rsidRPr="00062B0E" w:rsidRDefault="00736E65" w:rsidP="00062B0E">
      <w:pPr>
        <w:spacing w:line="360" w:lineRule="auto"/>
        <w:jc w:val="both"/>
        <w:rPr>
          <w:rFonts w:asciiTheme="majorBidi" w:hAnsiTheme="majorBidi" w:cstheme="majorBidi"/>
          <w:b/>
          <w:bCs/>
          <w:sz w:val="24"/>
          <w:szCs w:val="24"/>
        </w:rPr>
      </w:pPr>
    </w:p>
    <w:p w14:paraId="39507039" w14:textId="77777777" w:rsidR="00736E65" w:rsidRPr="00062B0E" w:rsidRDefault="00736E65" w:rsidP="00062B0E">
      <w:pPr>
        <w:spacing w:line="360" w:lineRule="auto"/>
        <w:jc w:val="both"/>
        <w:rPr>
          <w:rFonts w:asciiTheme="majorBidi" w:hAnsiTheme="majorBidi" w:cstheme="majorBidi"/>
          <w:b/>
          <w:bCs/>
          <w:sz w:val="24"/>
          <w:szCs w:val="24"/>
        </w:rPr>
      </w:pPr>
    </w:p>
    <w:p w14:paraId="0E07D988" w14:textId="77777777" w:rsidR="00736E65" w:rsidRPr="00062B0E" w:rsidRDefault="00736E65" w:rsidP="00062B0E">
      <w:pPr>
        <w:spacing w:line="360" w:lineRule="auto"/>
        <w:jc w:val="both"/>
        <w:rPr>
          <w:rFonts w:asciiTheme="majorBidi" w:hAnsiTheme="majorBidi" w:cstheme="majorBidi"/>
          <w:b/>
          <w:bCs/>
          <w:sz w:val="24"/>
          <w:szCs w:val="24"/>
        </w:rPr>
      </w:pPr>
    </w:p>
    <w:p w14:paraId="51BFC193" w14:textId="04ADE977" w:rsidR="00736E65" w:rsidRPr="00062B0E" w:rsidRDefault="00736E65" w:rsidP="00062B0E">
      <w:pPr>
        <w:spacing w:line="360" w:lineRule="auto"/>
        <w:jc w:val="both"/>
        <w:rPr>
          <w:rFonts w:asciiTheme="majorBidi" w:hAnsiTheme="majorBidi" w:cstheme="majorBidi"/>
          <w:sz w:val="24"/>
          <w:szCs w:val="24"/>
        </w:rPr>
      </w:pPr>
      <w:r w:rsidRPr="00062B0E">
        <w:rPr>
          <w:rFonts w:asciiTheme="majorBidi" w:hAnsiTheme="majorBidi" w:cstheme="majorBidi"/>
          <w:sz w:val="24"/>
          <w:szCs w:val="24"/>
        </w:rPr>
        <w:br w:type="page"/>
      </w:r>
    </w:p>
    <w:p w14:paraId="1EE23F3E" w14:textId="41C21977" w:rsidR="00736E65" w:rsidRPr="00062B0E" w:rsidRDefault="00736E65" w:rsidP="00062B0E">
      <w:pPr>
        <w:spacing w:line="360" w:lineRule="auto"/>
        <w:jc w:val="both"/>
        <w:rPr>
          <w:rFonts w:asciiTheme="majorBidi" w:hAnsiTheme="majorBidi" w:cstheme="majorBidi"/>
          <w:b/>
          <w:bCs/>
          <w:sz w:val="24"/>
          <w:szCs w:val="24"/>
        </w:rPr>
      </w:pPr>
      <w:r w:rsidRPr="00062B0E">
        <w:rPr>
          <w:rFonts w:asciiTheme="majorBidi" w:hAnsiTheme="majorBidi" w:cstheme="majorBidi"/>
          <w:b/>
          <w:bCs/>
          <w:sz w:val="24"/>
          <w:szCs w:val="24"/>
        </w:rPr>
        <w:lastRenderedPageBreak/>
        <w:t>Introduction</w:t>
      </w:r>
    </w:p>
    <w:p w14:paraId="75687117" w14:textId="77777777" w:rsidR="00736E65" w:rsidRPr="00062B0E" w:rsidRDefault="00736E65" w:rsidP="00062B0E">
      <w:pPr>
        <w:spacing w:line="360" w:lineRule="auto"/>
        <w:jc w:val="both"/>
        <w:rPr>
          <w:rFonts w:asciiTheme="majorBidi" w:hAnsiTheme="majorBidi" w:cstheme="majorBidi"/>
          <w:sz w:val="24"/>
          <w:szCs w:val="24"/>
        </w:rPr>
      </w:pPr>
      <w:r w:rsidRPr="00062B0E">
        <w:rPr>
          <w:rFonts w:asciiTheme="majorBidi" w:hAnsiTheme="majorBidi" w:cstheme="majorBidi"/>
          <w:sz w:val="24"/>
          <w:szCs w:val="24"/>
        </w:rPr>
        <w:t xml:space="preserve">William Faulkner once famously said ‘The past is never dead. It's not even past’. </w:t>
      </w:r>
    </w:p>
    <w:p w14:paraId="02A3AF8F" w14:textId="05C8313E" w:rsidR="00736E65" w:rsidRPr="00062B0E" w:rsidRDefault="00736E65" w:rsidP="00062B0E">
      <w:pPr>
        <w:spacing w:line="360" w:lineRule="auto"/>
        <w:jc w:val="both"/>
        <w:rPr>
          <w:rFonts w:asciiTheme="majorBidi" w:hAnsiTheme="majorBidi" w:cstheme="majorBidi"/>
          <w:sz w:val="24"/>
          <w:szCs w:val="24"/>
        </w:rPr>
      </w:pPr>
      <w:r w:rsidRPr="00062B0E">
        <w:rPr>
          <w:rFonts w:asciiTheme="majorBidi" w:hAnsiTheme="majorBidi" w:cstheme="majorBidi"/>
          <w:sz w:val="24"/>
          <w:szCs w:val="24"/>
        </w:rPr>
        <w:t>The Workshop sought to examine this statement in the context of the history of business law and governance. Capitalism, it seems, is currently at a critical inflection point, with recent calls for it to become more responsible, more inclusive, more sustainable, and more accountable to</w:t>
      </w:r>
      <w:r w:rsidR="00004E91" w:rsidRPr="00062B0E">
        <w:rPr>
          <w:rFonts w:asciiTheme="majorBidi" w:hAnsiTheme="majorBidi" w:cstheme="majorBidi"/>
          <w:sz w:val="24"/>
          <w:szCs w:val="24"/>
        </w:rPr>
        <w:t xml:space="preserve"> </w:t>
      </w:r>
      <w:r w:rsidRPr="00062B0E">
        <w:rPr>
          <w:rFonts w:asciiTheme="majorBidi" w:hAnsiTheme="majorBidi" w:cstheme="majorBidi"/>
          <w:sz w:val="24"/>
          <w:szCs w:val="24"/>
        </w:rPr>
        <w:t>stakeholders.</w:t>
      </w:r>
    </w:p>
    <w:p w14:paraId="3674BAE1" w14:textId="3C65C09E" w:rsidR="00C94DD4" w:rsidRPr="00062B0E" w:rsidRDefault="00736E65" w:rsidP="00062B0E">
      <w:pPr>
        <w:spacing w:line="360" w:lineRule="auto"/>
        <w:jc w:val="both"/>
        <w:rPr>
          <w:rFonts w:asciiTheme="majorBidi" w:hAnsiTheme="majorBidi" w:cstheme="majorBidi"/>
          <w:sz w:val="24"/>
          <w:szCs w:val="24"/>
          <w:lang w:val="en-AU"/>
        </w:rPr>
      </w:pPr>
      <w:r w:rsidRPr="00062B0E">
        <w:rPr>
          <w:rFonts w:asciiTheme="majorBidi" w:hAnsiTheme="majorBidi" w:cstheme="majorBidi"/>
          <w:sz w:val="24"/>
          <w:szCs w:val="24"/>
        </w:rPr>
        <w:t xml:space="preserve">The Workshop, which included leading corporate law scholars from a range of jurisdictions and a former Chair of the Australian Securities and Investments Commission (ASIC), examined the trajectory of business law and governance and the various theoretical and doctrinal twists and turns it has taken along the way. The </w:t>
      </w:r>
      <w:r w:rsidR="00004E91" w:rsidRPr="00062B0E">
        <w:rPr>
          <w:rFonts w:asciiTheme="majorBidi" w:hAnsiTheme="majorBidi" w:cstheme="majorBidi"/>
          <w:sz w:val="24"/>
          <w:szCs w:val="24"/>
        </w:rPr>
        <w:t xml:space="preserve">Workshop comprised three sessions that </w:t>
      </w:r>
      <w:r w:rsidRPr="00062B0E">
        <w:rPr>
          <w:rFonts w:asciiTheme="majorBidi" w:hAnsiTheme="majorBidi" w:cstheme="majorBidi"/>
          <w:sz w:val="24"/>
          <w:szCs w:val="24"/>
        </w:rPr>
        <w:t>explored the historical underpinnings of key contemporary corporate governance issues including</w:t>
      </w:r>
      <w:r w:rsidR="00004E91" w:rsidRPr="00062B0E">
        <w:rPr>
          <w:rFonts w:asciiTheme="majorBidi" w:hAnsiTheme="majorBidi" w:cstheme="majorBidi"/>
          <w:sz w:val="24"/>
          <w:szCs w:val="24"/>
        </w:rPr>
        <w:t>: -</w:t>
      </w:r>
      <w:r w:rsidRPr="00062B0E">
        <w:rPr>
          <w:rFonts w:asciiTheme="majorBidi" w:hAnsiTheme="majorBidi" w:cstheme="majorBidi"/>
          <w:sz w:val="24"/>
          <w:szCs w:val="24"/>
        </w:rPr>
        <w:t xml:space="preserve"> the nature of the corporation; fiduciary law and the role of corporate officeholders; institutional investors and shareholder engagement/activism; insider trading; corporate social responsibility and ESG; and executive compensation. The Workshop analysed these issues against the backdrop of some major themes in contemporary business law and governance, such as legal origins</w:t>
      </w:r>
      <w:r w:rsidR="00004E91" w:rsidRPr="00062B0E">
        <w:rPr>
          <w:rFonts w:asciiTheme="majorBidi" w:hAnsiTheme="majorBidi" w:cstheme="majorBidi"/>
          <w:sz w:val="24"/>
          <w:szCs w:val="24"/>
        </w:rPr>
        <w:t>,</w:t>
      </w:r>
      <w:r w:rsidRPr="00062B0E">
        <w:rPr>
          <w:rFonts w:asciiTheme="majorBidi" w:hAnsiTheme="majorBidi" w:cstheme="majorBidi"/>
          <w:sz w:val="24"/>
          <w:szCs w:val="24"/>
        </w:rPr>
        <w:t xml:space="preserve"> convergence versus path dependence</w:t>
      </w:r>
      <w:r w:rsidR="00004E91" w:rsidRPr="00062B0E">
        <w:rPr>
          <w:rFonts w:asciiTheme="majorBidi" w:hAnsiTheme="majorBidi" w:cstheme="majorBidi"/>
          <w:sz w:val="24"/>
          <w:szCs w:val="24"/>
        </w:rPr>
        <w:t>,</w:t>
      </w:r>
      <w:r w:rsidRPr="00062B0E">
        <w:rPr>
          <w:rFonts w:asciiTheme="majorBidi" w:hAnsiTheme="majorBidi" w:cstheme="majorBidi"/>
          <w:sz w:val="24"/>
          <w:szCs w:val="24"/>
        </w:rPr>
        <w:t xml:space="preserve"> and </w:t>
      </w:r>
      <w:r w:rsidRPr="00062B0E">
        <w:rPr>
          <w:rFonts w:asciiTheme="majorBidi" w:hAnsiTheme="majorBidi" w:cstheme="majorBidi"/>
          <w:sz w:val="24"/>
          <w:szCs w:val="24"/>
          <w:lang w:val="en-AU"/>
        </w:rPr>
        <w:t>international versus jurisdictional governance pressure points.</w:t>
      </w:r>
    </w:p>
    <w:p w14:paraId="0ED4BF20" w14:textId="0492B8C0" w:rsidR="004A6DA4" w:rsidRPr="00062B0E" w:rsidRDefault="004A6DA4" w:rsidP="00062B0E">
      <w:pPr>
        <w:spacing w:line="360" w:lineRule="auto"/>
        <w:jc w:val="both"/>
        <w:rPr>
          <w:rFonts w:asciiTheme="majorBidi" w:hAnsiTheme="majorBidi" w:cstheme="majorBidi"/>
          <w:sz w:val="24"/>
          <w:szCs w:val="24"/>
          <w:lang w:val="en-AU"/>
        </w:rPr>
      </w:pPr>
      <w:r w:rsidRPr="00062B0E">
        <w:rPr>
          <w:rFonts w:asciiTheme="majorBidi" w:hAnsiTheme="majorBidi" w:cstheme="majorBidi"/>
          <w:sz w:val="24"/>
          <w:szCs w:val="24"/>
          <w:lang w:val="en-AU"/>
        </w:rPr>
        <w:t>A description of the various papers in the three session is set out below. Each session concluded with a lively discussion among all Workshop participants.</w:t>
      </w:r>
    </w:p>
    <w:p w14:paraId="28097E64" w14:textId="77777777" w:rsidR="00736E65" w:rsidRPr="00062B0E" w:rsidRDefault="00736E65" w:rsidP="00062B0E">
      <w:pPr>
        <w:spacing w:line="360" w:lineRule="auto"/>
        <w:jc w:val="both"/>
        <w:rPr>
          <w:rFonts w:asciiTheme="majorBidi" w:hAnsiTheme="majorBidi" w:cstheme="majorBidi"/>
          <w:sz w:val="24"/>
          <w:szCs w:val="24"/>
          <w:lang w:val="en-AU"/>
        </w:rPr>
      </w:pPr>
    </w:p>
    <w:p w14:paraId="47982125" w14:textId="4FC166D9" w:rsidR="00736E65" w:rsidRPr="00062B0E" w:rsidRDefault="00736E65" w:rsidP="00062B0E">
      <w:pPr>
        <w:autoSpaceDE w:val="0"/>
        <w:autoSpaceDN w:val="0"/>
        <w:adjustRightInd w:val="0"/>
        <w:spacing w:after="0" w:line="360" w:lineRule="auto"/>
        <w:jc w:val="both"/>
        <w:rPr>
          <w:rFonts w:asciiTheme="majorBidi" w:hAnsiTheme="majorBidi" w:cstheme="majorBidi"/>
          <w:color w:val="666666"/>
          <w:kern w:val="0"/>
          <w:sz w:val="24"/>
          <w:szCs w:val="24"/>
        </w:rPr>
      </w:pPr>
      <w:r w:rsidRPr="00062B0E">
        <w:rPr>
          <w:rFonts w:asciiTheme="majorBidi" w:hAnsiTheme="majorBidi" w:cstheme="majorBidi"/>
          <w:b/>
          <w:bCs/>
          <w:sz w:val="24"/>
          <w:szCs w:val="24"/>
          <w:lang w:val="en-AU"/>
        </w:rPr>
        <w:t>Welcome:</w:t>
      </w:r>
      <w:r w:rsidRPr="00062B0E">
        <w:rPr>
          <w:rFonts w:asciiTheme="majorBidi" w:hAnsiTheme="majorBidi" w:cstheme="majorBidi"/>
          <w:b/>
          <w:bCs/>
          <w:sz w:val="24"/>
          <w:szCs w:val="24"/>
          <w:lang w:val="en-AU"/>
        </w:rPr>
        <w:tab/>
      </w:r>
      <w:r w:rsidR="001427C9" w:rsidRPr="00062B0E">
        <w:rPr>
          <w:rFonts w:asciiTheme="majorBidi" w:hAnsiTheme="majorBidi" w:cstheme="majorBidi"/>
          <w:sz w:val="24"/>
          <w:szCs w:val="24"/>
          <w:lang w:val="en-AU"/>
        </w:rPr>
        <w:t xml:space="preserve">Director of </w:t>
      </w:r>
      <w:r w:rsidR="001427C9" w:rsidRPr="00062B0E">
        <w:rPr>
          <w:rFonts w:asciiTheme="majorBidi" w:hAnsiTheme="majorBidi" w:cstheme="majorBidi"/>
          <w:color w:val="666666"/>
          <w:kern w:val="0"/>
          <w:sz w:val="24"/>
          <w:szCs w:val="24"/>
        </w:rPr>
        <w:t xml:space="preserve">Monash Law’s Centre for Commercial Law and Regulatory Studies (CLARS), </w:t>
      </w:r>
      <w:r w:rsidRPr="00062B0E">
        <w:rPr>
          <w:rFonts w:asciiTheme="majorBidi" w:hAnsiTheme="majorBidi" w:cstheme="majorBidi"/>
          <w:color w:val="666666"/>
          <w:kern w:val="0"/>
          <w:sz w:val="24"/>
          <w:szCs w:val="24"/>
        </w:rPr>
        <w:t>Jennifer Hill, welcomed the participants on behalf of</w:t>
      </w:r>
      <w:r w:rsidR="001427C9" w:rsidRPr="00062B0E">
        <w:rPr>
          <w:rFonts w:asciiTheme="majorBidi" w:hAnsiTheme="majorBidi" w:cstheme="majorBidi"/>
          <w:color w:val="666666"/>
          <w:kern w:val="0"/>
          <w:sz w:val="24"/>
          <w:szCs w:val="24"/>
        </w:rPr>
        <w:t xml:space="preserve"> CLARS and the co-hosting institutions, </w:t>
      </w:r>
      <w:r w:rsidRPr="00062B0E">
        <w:rPr>
          <w:rFonts w:asciiTheme="majorBidi" w:hAnsiTheme="majorBidi" w:cstheme="majorBidi"/>
          <w:color w:val="666666"/>
          <w:kern w:val="0"/>
          <w:sz w:val="24"/>
          <w:szCs w:val="24"/>
        </w:rPr>
        <w:t xml:space="preserve">University of Auckland </w:t>
      </w:r>
      <w:proofErr w:type="spellStart"/>
      <w:r w:rsidRPr="00062B0E">
        <w:rPr>
          <w:rFonts w:asciiTheme="majorBidi" w:hAnsiTheme="majorBidi" w:cstheme="majorBidi"/>
          <w:color w:val="666666"/>
          <w:kern w:val="0"/>
          <w:sz w:val="24"/>
          <w:szCs w:val="24"/>
        </w:rPr>
        <w:t>Waipapa</w:t>
      </w:r>
      <w:proofErr w:type="spellEnd"/>
      <w:r w:rsidRPr="00062B0E">
        <w:rPr>
          <w:rFonts w:asciiTheme="majorBidi" w:hAnsiTheme="majorBidi" w:cstheme="majorBidi"/>
          <w:color w:val="666666"/>
          <w:kern w:val="0"/>
          <w:sz w:val="24"/>
          <w:szCs w:val="24"/>
        </w:rPr>
        <w:t xml:space="preserve"> </w:t>
      </w:r>
      <w:proofErr w:type="spellStart"/>
      <w:r w:rsidRPr="00062B0E">
        <w:rPr>
          <w:rFonts w:asciiTheme="majorBidi" w:hAnsiTheme="majorBidi" w:cstheme="majorBidi"/>
          <w:color w:val="666666"/>
          <w:kern w:val="0"/>
          <w:sz w:val="24"/>
          <w:szCs w:val="24"/>
        </w:rPr>
        <w:t>Taumata</w:t>
      </w:r>
      <w:proofErr w:type="spellEnd"/>
      <w:r w:rsidRPr="00062B0E">
        <w:rPr>
          <w:rFonts w:asciiTheme="majorBidi" w:hAnsiTheme="majorBidi" w:cstheme="majorBidi"/>
          <w:color w:val="666666"/>
          <w:kern w:val="0"/>
          <w:sz w:val="24"/>
          <w:szCs w:val="24"/>
        </w:rPr>
        <w:t xml:space="preserve"> Rau Business School, Queen’s University Belfast and ECGI.</w:t>
      </w:r>
    </w:p>
    <w:p w14:paraId="4820994D" w14:textId="77777777" w:rsidR="00736E65" w:rsidRPr="00062B0E" w:rsidRDefault="00736E65" w:rsidP="00062B0E">
      <w:pPr>
        <w:spacing w:line="360" w:lineRule="auto"/>
        <w:jc w:val="both"/>
        <w:rPr>
          <w:rFonts w:asciiTheme="majorBidi" w:hAnsiTheme="majorBidi" w:cstheme="majorBidi"/>
          <w:b/>
          <w:bCs/>
          <w:sz w:val="24"/>
          <w:szCs w:val="24"/>
          <w:lang w:val="en-AU"/>
        </w:rPr>
      </w:pPr>
    </w:p>
    <w:p w14:paraId="53A41E08" w14:textId="75A5980C" w:rsidR="00736E65" w:rsidRPr="00062B0E" w:rsidRDefault="00736E65" w:rsidP="00062B0E">
      <w:pPr>
        <w:spacing w:line="360" w:lineRule="auto"/>
        <w:jc w:val="both"/>
        <w:rPr>
          <w:rFonts w:asciiTheme="majorBidi" w:hAnsiTheme="majorBidi" w:cstheme="majorBidi"/>
          <w:b/>
          <w:bCs/>
          <w:sz w:val="24"/>
          <w:szCs w:val="24"/>
        </w:rPr>
      </w:pPr>
      <w:r w:rsidRPr="00062B0E">
        <w:rPr>
          <w:rFonts w:asciiTheme="majorBidi" w:hAnsiTheme="majorBidi" w:cstheme="majorBidi"/>
          <w:b/>
          <w:bCs/>
          <w:sz w:val="24"/>
          <w:szCs w:val="24"/>
          <w:lang w:val="en-AU"/>
        </w:rPr>
        <w:t xml:space="preserve">Session 1: </w:t>
      </w:r>
      <w:r w:rsidRPr="00062B0E">
        <w:rPr>
          <w:rFonts w:asciiTheme="majorBidi" w:hAnsiTheme="majorBidi" w:cstheme="majorBidi"/>
          <w:b/>
          <w:bCs/>
          <w:sz w:val="24"/>
          <w:szCs w:val="24"/>
        </w:rPr>
        <w:t>A History of Corporations and Corporate</w:t>
      </w:r>
    </w:p>
    <w:p w14:paraId="7A3B6339" w14:textId="77777777" w:rsidR="00736E65" w:rsidRPr="00062B0E" w:rsidRDefault="00736E65" w:rsidP="00062B0E">
      <w:pPr>
        <w:spacing w:line="360" w:lineRule="auto"/>
        <w:jc w:val="both"/>
        <w:rPr>
          <w:rFonts w:asciiTheme="majorBidi" w:hAnsiTheme="majorBidi" w:cstheme="majorBidi"/>
          <w:sz w:val="24"/>
          <w:szCs w:val="24"/>
        </w:rPr>
      </w:pPr>
      <w:r w:rsidRPr="00062B0E">
        <w:rPr>
          <w:rFonts w:asciiTheme="majorBidi" w:hAnsiTheme="majorBidi" w:cstheme="majorBidi"/>
          <w:b/>
          <w:bCs/>
          <w:sz w:val="24"/>
          <w:szCs w:val="24"/>
        </w:rPr>
        <w:t>Moderator</w:t>
      </w:r>
      <w:r w:rsidRPr="00062B0E">
        <w:rPr>
          <w:rFonts w:asciiTheme="majorBidi" w:hAnsiTheme="majorBidi" w:cstheme="majorBidi"/>
          <w:sz w:val="24"/>
          <w:szCs w:val="24"/>
        </w:rPr>
        <w:t>: Tamara Wilkinson (Monash Law, Centre for Commercial Law and Regulatory</w:t>
      </w:r>
    </w:p>
    <w:p w14:paraId="535A7399" w14:textId="77777777" w:rsidR="00736E65" w:rsidRPr="00062B0E" w:rsidRDefault="00736E65" w:rsidP="00062B0E">
      <w:pPr>
        <w:spacing w:line="360" w:lineRule="auto"/>
        <w:jc w:val="both"/>
        <w:rPr>
          <w:rFonts w:asciiTheme="majorBidi" w:hAnsiTheme="majorBidi" w:cstheme="majorBidi"/>
          <w:sz w:val="24"/>
          <w:szCs w:val="24"/>
        </w:rPr>
      </w:pPr>
      <w:r w:rsidRPr="00062B0E">
        <w:rPr>
          <w:rFonts w:asciiTheme="majorBidi" w:hAnsiTheme="majorBidi" w:cstheme="majorBidi"/>
          <w:sz w:val="24"/>
          <w:szCs w:val="24"/>
        </w:rPr>
        <w:t>Studies)</w:t>
      </w:r>
    </w:p>
    <w:p w14:paraId="50119204" w14:textId="77777777" w:rsidR="00736E65" w:rsidRPr="00062B0E" w:rsidRDefault="00736E65" w:rsidP="00062B0E">
      <w:pPr>
        <w:spacing w:line="360" w:lineRule="auto"/>
        <w:jc w:val="both"/>
        <w:rPr>
          <w:rFonts w:asciiTheme="majorBidi" w:hAnsiTheme="majorBidi" w:cstheme="majorBidi"/>
          <w:b/>
          <w:bCs/>
          <w:sz w:val="24"/>
          <w:szCs w:val="24"/>
        </w:rPr>
      </w:pPr>
      <w:r w:rsidRPr="00062B0E">
        <w:rPr>
          <w:rFonts w:asciiTheme="majorBidi" w:hAnsiTheme="majorBidi" w:cstheme="majorBidi"/>
          <w:b/>
          <w:bCs/>
          <w:sz w:val="24"/>
          <w:szCs w:val="24"/>
        </w:rPr>
        <w:t>Speakers</w:t>
      </w:r>
    </w:p>
    <w:p w14:paraId="4D1B90B3" w14:textId="6BD0455D" w:rsidR="00736E65" w:rsidRPr="00062B0E" w:rsidRDefault="00736E65" w:rsidP="00062B0E">
      <w:pPr>
        <w:spacing w:line="360" w:lineRule="auto"/>
        <w:jc w:val="both"/>
        <w:rPr>
          <w:rFonts w:asciiTheme="majorBidi" w:hAnsiTheme="majorBidi" w:cstheme="majorBidi"/>
          <w:sz w:val="24"/>
          <w:szCs w:val="24"/>
        </w:rPr>
      </w:pPr>
      <w:r w:rsidRPr="00062B0E">
        <w:rPr>
          <w:rFonts w:asciiTheme="majorBidi" w:hAnsiTheme="majorBidi" w:cstheme="majorBidi"/>
          <w:b/>
          <w:bCs/>
          <w:sz w:val="24"/>
          <w:szCs w:val="24"/>
        </w:rPr>
        <w:lastRenderedPageBreak/>
        <w:t>D. Gordon Smith</w:t>
      </w:r>
      <w:r w:rsidRPr="00062B0E">
        <w:rPr>
          <w:rFonts w:asciiTheme="majorBidi" w:hAnsiTheme="majorBidi" w:cstheme="majorBidi"/>
          <w:sz w:val="24"/>
          <w:szCs w:val="24"/>
        </w:rPr>
        <w:t xml:space="preserve"> (BYU Law)</w:t>
      </w:r>
    </w:p>
    <w:p w14:paraId="358AF66C" w14:textId="77777777" w:rsidR="00736E65" w:rsidRPr="00062B0E" w:rsidRDefault="00736E65" w:rsidP="00062B0E">
      <w:pPr>
        <w:spacing w:line="360" w:lineRule="auto"/>
        <w:jc w:val="both"/>
        <w:rPr>
          <w:rFonts w:asciiTheme="majorBidi" w:hAnsiTheme="majorBidi" w:cstheme="majorBidi"/>
          <w:sz w:val="24"/>
          <w:szCs w:val="24"/>
        </w:rPr>
      </w:pPr>
      <w:r w:rsidRPr="00062B0E">
        <w:rPr>
          <w:rFonts w:asciiTheme="majorBidi" w:hAnsiTheme="majorBidi" w:cstheme="majorBidi"/>
          <w:b/>
          <w:bCs/>
          <w:sz w:val="24"/>
          <w:szCs w:val="24"/>
        </w:rPr>
        <w:t>Susan Watson</w:t>
      </w:r>
      <w:r w:rsidRPr="00062B0E">
        <w:rPr>
          <w:rFonts w:asciiTheme="majorBidi" w:hAnsiTheme="majorBidi" w:cstheme="majorBidi"/>
          <w:sz w:val="24"/>
          <w:szCs w:val="24"/>
        </w:rPr>
        <w:t xml:space="preserve"> (University of Auckland, Faculty of Business and Economics; Research</w:t>
      </w:r>
    </w:p>
    <w:p w14:paraId="2F1C6D72" w14:textId="3001E6B0" w:rsidR="00736E65" w:rsidRPr="00062B0E" w:rsidRDefault="00736E65" w:rsidP="00062B0E">
      <w:pPr>
        <w:spacing w:line="360" w:lineRule="auto"/>
        <w:jc w:val="both"/>
        <w:rPr>
          <w:rFonts w:asciiTheme="majorBidi" w:hAnsiTheme="majorBidi" w:cstheme="majorBidi"/>
          <w:sz w:val="24"/>
          <w:szCs w:val="24"/>
        </w:rPr>
      </w:pPr>
      <w:r w:rsidRPr="00062B0E">
        <w:rPr>
          <w:rFonts w:asciiTheme="majorBidi" w:hAnsiTheme="majorBidi" w:cstheme="majorBidi"/>
          <w:sz w:val="24"/>
          <w:szCs w:val="24"/>
        </w:rPr>
        <w:t>Member ECGI)</w:t>
      </w:r>
    </w:p>
    <w:p w14:paraId="709F6A94" w14:textId="77777777" w:rsidR="00736E65" w:rsidRPr="00062B0E" w:rsidRDefault="00736E65" w:rsidP="00062B0E">
      <w:pPr>
        <w:spacing w:line="360" w:lineRule="auto"/>
        <w:jc w:val="both"/>
        <w:rPr>
          <w:rFonts w:asciiTheme="majorBidi" w:hAnsiTheme="majorBidi" w:cstheme="majorBidi"/>
          <w:sz w:val="24"/>
          <w:szCs w:val="24"/>
        </w:rPr>
      </w:pPr>
      <w:r w:rsidRPr="00062B0E">
        <w:rPr>
          <w:rFonts w:asciiTheme="majorBidi" w:hAnsiTheme="majorBidi" w:cstheme="majorBidi"/>
          <w:b/>
          <w:bCs/>
          <w:sz w:val="24"/>
          <w:szCs w:val="24"/>
        </w:rPr>
        <w:t xml:space="preserve">Steve </w:t>
      </w:r>
      <w:proofErr w:type="spellStart"/>
      <w:r w:rsidRPr="00062B0E">
        <w:rPr>
          <w:rFonts w:asciiTheme="majorBidi" w:hAnsiTheme="majorBidi" w:cstheme="majorBidi"/>
          <w:b/>
          <w:bCs/>
          <w:sz w:val="24"/>
          <w:szCs w:val="24"/>
        </w:rPr>
        <w:t>Kourabas</w:t>
      </w:r>
      <w:proofErr w:type="spellEnd"/>
      <w:r w:rsidRPr="00062B0E">
        <w:rPr>
          <w:rFonts w:asciiTheme="majorBidi" w:hAnsiTheme="majorBidi" w:cstheme="majorBidi"/>
          <w:b/>
          <w:bCs/>
          <w:sz w:val="24"/>
          <w:szCs w:val="24"/>
        </w:rPr>
        <w:t xml:space="preserve"> </w:t>
      </w:r>
      <w:r w:rsidRPr="00062B0E">
        <w:rPr>
          <w:rFonts w:asciiTheme="majorBidi" w:hAnsiTheme="majorBidi" w:cstheme="majorBidi"/>
          <w:sz w:val="24"/>
          <w:szCs w:val="24"/>
        </w:rPr>
        <w:t xml:space="preserve">and </w:t>
      </w:r>
      <w:r w:rsidRPr="00062B0E">
        <w:rPr>
          <w:rFonts w:asciiTheme="majorBidi" w:hAnsiTheme="majorBidi" w:cstheme="majorBidi"/>
          <w:b/>
          <w:bCs/>
          <w:sz w:val="24"/>
          <w:szCs w:val="24"/>
        </w:rPr>
        <w:t>Nick Sinanis</w:t>
      </w:r>
      <w:r w:rsidRPr="00062B0E">
        <w:rPr>
          <w:rFonts w:asciiTheme="majorBidi" w:hAnsiTheme="majorBidi" w:cstheme="majorBidi"/>
          <w:sz w:val="24"/>
          <w:szCs w:val="24"/>
        </w:rPr>
        <w:t xml:space="preserve"> (Monash Law, Centre for Commercial Law and</w:t>
      </w:r>
    </w:p>
    <w:p w14:paraId="6341B834" w14:textId="7D59ECE4" w:rsidR="00736E65" w:rsidRPr="00062B0E" w:rsidRDefault="00736E65" w:rsidP="00062B0E">
      <w:pPr>
        <w:spacing w:line="360" w:lineRule="auto"/>
        <w:jc w:val="both"/>
        <w:rPr>
          <w:rFonts w:asciiTheme="majorBidi" w:hAnsiTheme="majorBidi" w:cstheme="majorBidi"/>
          <w:sz w:val="24"/>
          <w:szCs w:val="24"/>
        </w:rPr>
      </w:pPr>
      <w:r w:rsidRPr="00062B0E">
        <w:rPr>
          <w:rFonts w:asciiTheme="majorBidi" w:hAnsiTheme="majorBidi" w:cstheme="majorBidi"/>
          <w:sz w:val="24"/>
          <w:szCs w:val="24"/>
        </w:rPr>
        <w:t>Regulatory Studies)</w:t>
      </w:r>
    </w:p>
    <w:p w14:paraId="4EB97DBE" w14:textId="49130BE8" w:rsidR="00736E65" w:rsidRPr="00062B0E" w:rsidRDefault="00736E65" w:rsidP="00062B0E">
      <w:pPr>
        <w:spacing w:line="360" w:lineRule="auto"/>
        <w:jc w:val="both"/>
        <w:rPr>
          <w:rFonts w:asciiTheme="majorBidi" w:hAnsiTheme="majorBidi" w:cstheme="majorBidi"/>
          <w:sz w:val="24"/>
          <w:szCs w:val="24"/>
        </w:rPr>
      </w:pPr>
      <w:r w:rsidRPr="00062B0E">
        <w:rPr>
          <w:rFonts w:asciiTheme="majorBidi" w:hAnsiTheme="majorBidi" w:cstheme="majorBidi"/>
          <w:b/>
          <w:bCs/>
          <w:sz w:val="24"/>
          <w:szCs w:val="24"/>
        </w:rPr>
        <w:t>Timothy Peters</w:t>
      </w:r>
      <w:r w:rsidRPr="00062B0E">
        <w:rPr>
          <w:rFonts w:asciiTheme="majorBidi" w:hAnsiTheme="majorBidi" w:cstheme="majorBidi"/>
          <w:sz w:val="24"/>
          <w:szCs w:val="24"/>
        </w:rPr>
        <w:t xml:space="preserve"> (University of the Sunshine Coast, School of </w:t>
      </w:r>
      <w:proofErr w:type="gramStart"/>
      <w:r w:rsidRPr="00062B0E">
        <w:rPr>
          <w:rFonts w:asciiTheme="majorBidi" w:hAnsiTheme="majorBidi" w:cstheme="majorBidi"/>
          <w:sz w:val="24"/>
          <w:szCs w:val="24"/>
        </w:rPr>
        <w:t>Law</w:t>
      </w:r>
      <w:proofErr w:type="gramEnd"/>
      <w:r w:rsidRPr="00062B0E">
        <w:rPr>
          <w:rFonts w:asciiTheme="majorBidi" w:hAnsiTheme="majorBidi" w:cstheme="majorBidi"/>
          <w:sz w:val="24"/>
          <w:szCs w:val="24"/>
        </w:rPr>
        <w:t xml:space="preserve"> and Society)</w:t>
      </w:r>
    </w:p>
    <w:p w14:paraId="331DA654" w14:textId="77777777" w:rsidR="0040425E" w:rsidRPr="00062B0E" w:rsidRDefault="0040425E" w:rsidP="00062B0E">
      <w:pPr>
        <w:spacing w:line="360" w:lineRule="auto"/>
        <w:jc w:val="both"/>
        <w:rPr>
          <w:rFonts w:asciiTheme="majorBidi" w:hAnsiTheme="majorBidi" w:cstheme="majorBidi"/>
          <w:b/>
          <w:bCs/>
          <w:sz w:val="24"/>
          <w:szCs w:val="24"/>
        </w:rPr>
      </w:pPr>
    </w:p>
    <w:p w14:paraId="2B0242BD" w14:textId="7ABCABF4" w:rsidR="00736E65" w:rsidRPr="00062B0E" w:rsidRDefault="00736E65" w:rsidP="00062B0E">
      <w:pPr>
        <w:spacing w:line="360" w:lineRule="auto"/>
        <w:jc w:val="both"/>
        <w:rPr>
          <w:rFonts w:asciiTheme="majorBidi" w:hAnsiTheme="majorBidi" w:cstheme="majorBidi"/>
          <w:b/>
          <w:bCs/>
          <w:sz w:val="24"/>
          <w:szCs w:val="24"/>
        </w:rPr>
      </w:pPr>
      <w:r w:rsidRPr="00062B0E">
        <w:rPr>
          <w:rFonts w:asciiTheme="majorBidi" w:hAnsiTheme="majorBidi" w:cstheme="majorBidi"/>
          <w:b/>
          <w:bCs/>
          <w:sz w:val="24"/>
          <w:szCs w:val="24"/>
        </w:rPr>
        <w:t>Session 1 Summary</w:t>
      </w:r>
    </w:p>
    <w:p w14:paraId="636A7943" w14:textId="799820A5" w:rsidR="00736E65" w:rsidRPr="00062B0E" w:rsidRDefault="00736E65" w:rsidP="00062B0E">
      <w:pPr>
        <w:autoSpaceDE w:val="0"/>
        <w:autoSpaceDN w:val="0"/>
        <w:adjustRightInd w:val="0"/>
        <w:spacing w:after="0" w:line="360" w:lineRule="auto"/>
        <w:jc w:val="both"/>
        <w:rPr>
          <w:rFonts w:asciiTheme="majorBidi" w:hAnsiTheme="majorBidi" w:cstheme="majorBidi"/>
          <w:color w:val="434343"/>
          <w:kern w:val="0"/>
          <w:sz w:val="24"/>
          <w:szCs w:val="24"/>
        </w:rPr>
      </w:pPr>
      <w:r w:rsidRPr="00062B0E">
        <w:rPr>
          <w:rFonts w:asciiTheme="majorBidi" w:hAnsiTheme="majorBidi" w:cstheme="majorBidi"/>
          <w:sz w:val="24"/>
          <w:szCs w:val="24"/>
        </w:rPr>
        <w:t xml:space="preserve">The first session provided an in-depth examination of the history of the corporation and its officers from a comparative perspective. </w:t>
      </w:r>
      <w:r w:rsidR="00800D00" w:rsidRPr="00062B0E">
        <w:rPr>
          <w:rFonts w:asciiTheme="majorBidi" w:hAnsiTheme="majorBidi" w:cstheme="majorBidi"/>
          <w:b/>
          <w:bCs/>
          <w:sz w:val="24"/>
          <w:szCs w:val="24"/>
        </w:rPr>
        <w:t>Professor D.</w:t>
      </w:r>
      <w:r w:rsidR="00800D00" w:rsidRPr="00062B0E">
        <w:rPr>
          <w:rFonts w:asciiTheme="majorBidi" w:hAnsiTheme="majorBidi" w:cstheme="majorBidi"/>
          <w:sz w:val="24"/>
          <w:szCs w:val="24"/>
        </w:rPr>
        <w:t xml:space="preserve"> </w:t>
      </w:r>
      <w:r w:rsidRPr="00062B0E">
        <w:rPr>
          <w:rFonts w:asciiTheme="majorBidi" w:hAnsiTheme="majorBidi" w:cstheme="majorBidi"/>
          <w:b/>
          <w:bCs/>
          <w:sz w:val="24"/>
          <w:szCs w:val="24"/>
        </w:rPr>
        <w:t>Gordon</w:t>
      </w:r>
      <w:r w:rsidR="008B683F" w:rsidRPr="00062B0E">
        <w:rPr>
          <w:rFonts w:asciiTheme="majorBidi" w:hAnsiTheme="majorBidi" w:cstheme="majorBidi"/>
          <w:b/>
          <w:bCs/>
          <w:sz w:val="24"/>
          <w:szCs w:val="24"/>
        </w:rPr>
        <w:t xml:space="preserve"> Smith</w:t>
      </w:r>
      <w:r w:rsidRPr="00062B0E">
        <w:rPr>
          <w:rFonts w:asciiTheme="majorBidi" w:hAnsiTheme="majorBidi" w:cstheme="majorBidi"/>
          <w:sz w:val="24"/>
          <w:szCs w:val="24"/>
        </w:rPr>
        <w:t xml:space="preserve"> </w:t>
      </w:r>
      <w:r w:rsidR="008B683F" w:rsidRPr="00062B0E">
        <w:rPr>
          <w:rFonts w:asciiTheme="majorBidi" w:hAnsiTheme="majorBidi" w:cstheme="majorBidi"/>
          <w:sz w:val="24"/>
          <w:szCs w:val="24"/>
        </w:rPr>
        <w:t xml:space="preserve">opened the Workshop </w:t>
      </w:r>
      <w:r w:rsidRPr="00062B0E">
        <w:rPr>
          <w:rFonts w:asciiTheme="majorBidi" w:hAnsiTheme="majorBidi" w:cstheme="majorBidi"/>
          <w:sz w:val="24"/>
          <w:szCs w:val="24"/>
        </w:rPr>
        <w:t xml:space="preserve">with a paper titled </w:t>
      </w:r>
      <w:r w:rsidRPr="00062B0E">
        <w:rPr>
          <w:rFonts w:asciiTheme="majorBidi" w:hAnsiTheme="majorBidi" w:cstheme="majorBidi"/>
          <w:b/>
          <w:bCs/>
          <w:color w:val="434343"/>
          <w:kern w:val="0"/>
          <w:sz w:val="24"/>
          <w:szCs w:val="24"/>
        </w:rPr>
        <w:t>Creating the Modern Corporation</w:t>
      </w:r>
      <w:r w:rsidRPr="00062B0E">
        <w:rPr>
          <w:rFonts w:asciiTheme="majorBidi" w:hAnsiTheme="majorBidi" w:cstheme="majorBidi"/>
          <w:color w:val="434343"/>
          <w:kern w:val="0"/>
          <w:sz w:val="24"/>
          <w:szCs w:val="24"/>
        </w:rPr>
        <w:t xml:space="preserve">, in which he assessed the rise of modern capitalism through a </w:t>
      </w:r>
      <w:r w:rsidR="00510143" w:rsidRPr="00062B0E">
        <w:rPr>
          <w:rFonts w:asciiTheme="majorBidi" w:hAnsiTheme="majorBidi" w:cstheme="majorBidi"/>
          <w:color w:val="434343"/>
          <w:kern w:val="0"/>
          <w:sz w:val="24"/>
          <w:szCs w:val="24"/>
        </w:rPr>
        <w:t>US</w:t>
      </w:r>
      <w:r w:rsidRPr="00062B0E">
        <w:rPr>
          <w:rFonts w:asciiTheme="majorBidi" w:hAnsiTheme="majorBidi" w:cstheme="majorBidi"/>
          <w:color w:val="434343"/>
          <w:kern w:val="0"/>
          <w:sz w:val="24"/>
          <w:szCs w:val="24"/>
        </w:rPr>
        <w:t xml:space="preserve"> lens. A critical moment in the journey to modern </w:t>
      </w:r>
      <w:r w:rsidR="00510143" w:rsidRPr="00062B0E">
        <w:rPr>
          <w:rFonts w:asciiTheme="majorBidi" w:hAnsiTheme="majorBidi" w:cstheme="majorBidi"/>
          <w:color w:val="434343"/>
          <w:kern w:val="0"/>
          <w:sz w:val="24"/>
          <w:szCs w:val="24"/>
        </w:rPr>
        <w:t>US</w:t>
      </w:r>
      <w:r w:rsidRPr="00062B0E">
        <w:rPr>
          <w:rFonts w:asciiTheme="majorBidi" w:hAnsiTheme="majorBidi" w:cstheme="majorBidi"/>
          <w:color w:val="434343"/>
          <w:kern w:val="0"/>
          <w:sz w:val="24"/>
          <w:szCs w:val="24"/>
        </w:rPr>
        <w:t xml:space="preserve"> corporations was the advent of general incorporation laws in New Jersey, Delaware and other states, w</w:t>
      </w:r>
      <w:r w:rsidR="00AB6559" w:rsidRPr="00062B0E">
        <w:rPr>
          <w:rFonts w:asciiTheme="majorBidi" w:hAnsiTheme="majorBidi" w:cstheme="majorBidi"/>
          <w:color w:val="434343"/>
          <w:kern w:val="0"/>
          <w:sz w:val="24"/>
          <w:szCs w:val="24"/>
        </w:rPr>
        <w:t>hich</w:t>
      </w:r>
      <w:r w:rsidRPr="00062B0E">
        <w:rPr>
          <w:rFonts w:asciiTheme="majorBidi" w:hAnsiTheme="majorBidi" w:cstheme="majorBidi"/>
          <w:color w:val="434343"/>
          <w:kern w:val="0"/>
          <w:sz w:val="24"/>
          <w:szCs w:val="24"/>
        </w:rPr>
        <w:t xml:space="preserve"> transformed </w:t>
      </w:r>
      <w:r w:rsidR="00510143" w:rsidRPr="00062B0E">
        <w:rPr>
          <w:rFonts w:asciiTheme="majorBidi" w:hAnsiTheme="majorBidi" w:cstheme="majorBidi"/>
          <w:color w:val="434343"/>
          <w:kern w:val="0"/>
          <w:sz w:val="24"/>
          <w:szCs w:val="24"/>
        </w:rPr>
        <w:t>US</w:t>
      </w:r>
      <w:r w:rsidRPr="00062B0E">
        <w:rPr>
          <w:rFonts w:asciiTheme="majorBidi" w:hAnsiTheme="majorBidi" w:cstheme="majorBidi"/>
          <w:color w:val="434343"/>
          <w:kern w:val="0"/>
          <w:sz w:val="24"/>
          <w:szCs w:val="24"/>
        </w:rPr>
        <w:t xml:space="preserve"> </w:t>
      </w:r>
      <w:proofErr w:type="gramStart"/>
      <w:r w:rsidRPr="00062B0E">
        <w:rPr>
          <w:rFonts w:asciiTheme="majorBidi" w:hAnsiTheme="majorBidi" w:cstheme="majorBidi"/>
          <w:color w:val="434343"/>
          <w:kern w:val="0"/>
          <w:sz w:val="24"/>
          <w:szCs w:val="24"/>
        </w:rPr>
        <w:t>corporations</w:t>
      </w:r>
      <w:proofErr w:type="gramEnd"/>
      <w:r w:rsidRPr="00062B0E">
        <w:rPr>
          <w:rFonts w:asciiTheme="majorBidi" w:hAnsiTheme="majorBidi" w:cstheme="majorBidi"/>
          <w:color w:val="434343"/>
          <w:kern w:val="0"/>
          <w:sz w:val="24"/>
          <w:szCs w:val="24"/>
        </w:rPr>
        <w:t xml:space="preserve"> codes from regulatory codes to enabling statutes. Although this transformation is often depicted as a natural and inevitable result of the Second Industrial Revolution (featuring, for example, massive innovations in steel, chemicals, electricity, transportation, agriculture), Professor Smith’s presentation provided an alternative explanation – namely, the successful overcoming of fear</w:t>
      </w:r>
      <w:r w:rsidR="006B07B6" w:rsidRPr="00062B0E">
        <w:rPr>
          <w:rFonts w:asciiTheme="majorBidi" w:hAnsiTheme="majorBidi" w:cstheme="majorBidi"/>
          <w:color w:val="434343"/>
          <w:kern w:val="0"/>
          <w:sz w:val="24"/>
          <w:szCs w:val="24"/>
        </w:rPr>
        <w:t xml:space="preserve"> towards big business</w:t>
      </w:r>
      <w:r w:rsidRPr="00062B0E">
        <w:rPr>
          <w:rFonts w:asciiTheme="majorBidi" w:hAnsiTheme="majorBidi" w:cstheme="majorBidi"/>
          <w:color w:val="434343"/>
          <w:kern w:val="0"/>
          <w:sz w:val="24"/>
          <w:szCs w:val="24"/>
        </w:rPr>
        <w:t>.</w:t>
      </w:r>
    </w:p>
    <w:p w14:paraId="764E30D4" w14:textId="77777777" w:rsidR="00736E65" w:rsidRPr="00062B0E" w:rsidRDefault="00736E65" w:rsidP="00062B0E">
      <w:pPr>
        <w:autoSpaceDE w:val="0"/>
        <w:autoSpaceDN w:val="0"/>
        <w:adjustRightInd w:val="0"/>
        <w:spacing w:after="0" w:line="360" w:lineRule="auto"/>
        <w:jc w:val="both"/>
        <w:rPr>
          <w:rFonts w:asciiTheme="majorBidi" w:hAnsiTheme="majorBidi" w:cstheme="majorBidi"/>
          <w:color w:val="434343"/>
          <w:kern w:val="0"/>
          <w:sz w:val="24"/>
          <w:szCs w:val="24"/>
        </w:rPr>
      </w:pPr>
    </w:p>
    <w:p w14:paraId="356BCEDF" w14:textId="6B007DC8" w:rsidR="00736E65" w:rsidRPr="00062B0E" w:rsidRDefault="00736E65" w:rsidP="00062B0E">
      <w:pPr>
        <w:autoSpaceDE w:val="0"/>
        <w:autoSpaceDN w:val="0"/>
        <w:adjustRightInd w:val="0"/>
        <w:spacing w:after="0" w:line="360" w:lineRule="auto"/>
        <w:jc w:val="both"/>
        <w:rPr>
          <w:rFonts w:asciiTheme="majorBidi" w:hAnsiTheme="majorBidi" w:cstheme="majorBidi"/>
          <w:color w:val="434343"/>
          <w:kern w:val="0"/>
          <w:sz w:val="24"/>
          <w:szCs w:val="24"/>
        </w:rPr>
      </w:pPr>
      <w:r w:rsidRPr="00062B0E">
        <w:rPr>
          <w:rFonts w:asciiTheme="majorBidi" w:hAnsiTheme="majorBidi" w:cstheme="majorBidi"/>
          <w:color w:val="434343"/>
          <w:kern w:val="0"/>
          <w:sz w:val="24"/>
          <w:szCs w:val="24"/>
        </w:rPr>
        <w:t>As Professor Smith noted, prior to the Civil War, business corporations in the United States were constrained in every conceivable way,</w:t>
      </w:r>
      <w:r w:rsidR="00A24067" w:rsidRPr="00062B0E">
        <w:rPr>
          <w:rFonts w:asciiTheme="majorBidi" w:hAnsiTheme="majorBidi" w:cstheme="majorBidi"/>
          <w:color w:val="434343"/>
          <w:kern w:val="0"/>
          <w:sz w:val="24"/>
          <w:szCs w:val="24"/>
        </w:rPr>
        <w:t xml:space="preserve"> </w:t>
      </w:r>
      <w:proofErr w:type="gramStart"/>
      <w:r w:rsidR="00A24067" w:rsidRPr="00062B0E">
        <w:rPr>
          <w:rFonts w:asciiTheme="majorBidi" w:hAnsiTheme="majorBidi" w:cstheme="majorBidi"/>
          <w:color w:val="434343"/>
          <w:kern w:val="0"/>
          <w:sz w:val="24"/>
          <w:szCs w:val="24"/>
        </w:rPr>
        <w:t>as a result of</w:t>
      </w:r>
      <w:proofErr w:type="gramEnd"/>
      <w:r w:rsidR="00A24067" w:rsidRPr="00062B0E">
        <w:rPr>
          <w:rFonts w:asciiTheme="majorBidi" w:hAnsiTheme="majorBidi" w:cstheme="majorBidi"/>
          <w:color w:val="434343"/>
          <w:kern w:val="0"/>
          <w:sz w:val="24"/>
          <w:szCs w:val="24"/>
        </w:rPr>
        <w:t xml:space="preserve"> such fear</w:t>
      </w:r>
      <w:r w:rsidRPr="00062B0E">
        <w:rPr>
          <w:rFonts w:asciiTheme="majorBidi" w:hAnsiTheme="majorBidi" w:cstheme="majorBidi"/>
          <w:color w:val="434343"/>
          <w:kern w:val="0"/>
          <w:sz w:val="24"/>
          <w:szCs w:val="24"/>
        </w:rPr>
        <w:t xml:space="preserve">. In the late </w:t>
      </w:r>
      <w:r w:rsidR="007F55FA" w:rsidRPr="00062B0E">
        <w:rPr>
          <w:rFonts w:asciiTheme="majorBidi" w:hAnsiTheme="majorBidi" w:cstheme="majorBidi"/>
          <w:color w:val="434343"/>
          <w:kern w:val="0"/>
          <w:sz w:val="24"/>
          <w:szCs w:val="24"/>
        </w:rPr>
        <w:t>19</w:t>
      </w:r>
      <w:r w:rsidR="007F55FA" w:rsidRPr="00062B0E">
        <w:rPr>
          <w:rFonts w:asciiTheme="majorBidi" w:hAnsiTheme="majorBidi" w:cstheme="majorBidi"/>
          <w:color w:val="434343"/>
          <w:kern w:val="0"/>
          <w:sz w:val="24"/>
          <w:szCs w:val="24"/>
          <w:vertAlign w:val="superscript"/>
        </w:rPr>
        <w:t>th</w:t>
      </w:r>
      <w:r w:rsidR="007F55FA" w:rsidRPr="00062B0E">
        <w:rPr>
          <w:rFonts w:asciiTheme="majorBidi" w:hAnsiTheme="majorBidi" w:cstheme="majorBidi"/>
          <w:color w:val="434343"/>
          <w:kern w:val="0"/>
          <w:sz w:val="24"/>
          <w:szCs w:val="24"/>
        </w:rPr>
        <w:t xml:space="preserve"> </w:t>
      </w:r>
      <w:r w:rsidRPr="00062B0E">
        <w:rPr>
          <w:rFonts w:asciiTheme="majorBidi" w:hAnsiTheme="majorBidi" w:cstheme="majorBidi"/>
          <w:color w:val="434343"/>
          <w:kern w:val="0"/>
          <w:sz w:val="24"/>
          <w:szCs w:val="24"/>
        </w:rPr>
        <w:t>century, however, the United States was changing quickly, growing industry through innovation, emancipation, and immigration.</w:t>
      </w:r>
      <w:r w:rsidR="008E2998" w:rsidRPr="00062B0E">
        <w:rPr>
          <w:rFonts w:asciiTheme="majorBidi" w:hAnsiTheme="majorBidi" w:cstheme="majorBidi"/>
          <w:color w:val="434343"/>
          <w:kern w:val="0"/>
          <w:sz w:val="24"/>
          <w:szCs w:val="24"/>
        </w:rPr>
        <w:t xml:space="preserve"> According to Professor Smith</w:t>
      </w:r>
      <w:r w:rsidRPr="00062B0E">
        <w:rPr>
          <w:rFonts w:asciiTheme="majorBidi" w:hAnsiTheme="majorBidi" w:cstheme="majorBidi"/>
          <w:color w:val="434343"/>
          <w:kern w:val="0"/>
          <w:sz w:val="24"/>
          <w:szCs w:val="24"/>
        </w:rPr>
        <w:t xml:space="preserve">, although reformers recognised potential social costs attendant to the development of law industrial corporations, the policy changes that arose during the Gilded Age reflected an optimism by the elites that it was possible to tame the world, including corporations. </w:t>
      </w:r>
      <w:r w:rsidR="00621984" w:rsidRPr="00062B0E">
        <w:rPr>
          <w:rFonts w:asciiTheme="majorBidi" w:hAnsiTheme="majorBidi" w:cstheme="majorBidi"/>
          <w:color w:val="434343"/>
          <w:kern w:val="0"/>
          <w:sz w:val="24"/>
          <w:szCs w:val="24"/>
        </w:rPr>
        <w:t xml:space="preserve">That </w:t>
      </w:r>
      <w:r w:rsidRPr="00062B0E">
        <w:rPr>
          <w:rFonts w:asciiTheme="majorBidi" w:hAnsiTheme="majorBidi" w:cstheme="majorBidi"/>
          <w:color w:val="434343"/>
          <w:kern w:val="0"/>
          <w:sz w:val="24"/>
          <w:szCs w:val="24"/>
        </w:rPr>
        <w:t>confidence ultimately paved the way for New Jersey, as first mover, to create a modern corporation law as a populist initiative, contrary to the more familiar story of the rise of the modern corporation.</w:t>
      </w:r>
    </w:p>
    <w:p w14:paraId="08943193" w14:textId="03EC1C81" w:rsidR="00736E65" w:rsidRPr="00062B0E" w:rsidRDefault="00736E65" w:rsidP="00062B0E">
      <w:pPr>
        <w:autoSpaceDE w:val="0"/>
        <w:autoSpaceDN w:val="0"/>
        <w:adjustRightInd w:val="0"/>
        <w:spacing w:after="0" w:line="360" w:lineRule="auto"/>
        <w:jc w:val="both"/>
        <w:rPr>
          <w:rFonts w:asciiTheme="majorBidi" w:hAnsiTheme="majorBidi" w:cstheme="majorBidi"/>
          <w:color w:val="434343"/>
          <w:kern w:val="0"/>
          <w:sz w:val="24"/>
          <w:szCs w:val="24"/>
        </w:rPr>
      </w:pPr>
    </w:p>
    <w:p w14:paraId="30C788AA" w14:textId="383E8675" w:rsidR="00736E65" w:rsidRPr="00062B0E" w:rsidRDefault="00736E65" w:rsidP="00062B0E">
      <w:pPr>
        <w:autoSpaceDE w:val="0"/>
        <w:autoSpaceDN w:val="0"/>
        <w:adjustRightInd w:val="0"/>
        <w:spacing w:after="0" w:line="360" w:lineRule="auto"/>
        <w:jc w:val="both"/>
        <w:rPr>
          <w:rFonts w:asciiTheme="majorBidi" w:hAnsiTheme="majorBidi" w:cstheme="majorBidi"/>
          <w:color w:val="434343"/>
          <w:kern w:val="0"/>
          <w:sz w:val="24"/>
          <w:szCs w:val="24"/>
        </w:rPr>
      </w:pPr>
    </w:p>
    <w:p w14:paraId="60B3C7F7" w14:textId="06BAF5CE" w:rsidR="00736E65" w:rsidRPr="00062B0E" w:rsidRDefault="00736E65" w:rsidP="00062B0E">
      <w:pPr>
        <w:spacing w:line="360" w:lineRule="auto"/>
        <w:jc w:val="both"/>
        <w:rPr>
          <w:rFonts w:asciiTheme="majorBidi" w:hAnsiTheme="majorBidi" w:cstheme="majorBidi"/>
          <w:b/>
          <w:bCs/>
          <w:sz w:val="24"/>
          <w:szCs w:val="24"/>
        </w:rPr>
      </w:pPr>
    </w:p>
    <w:p w14:paraId="21824828" w14:textId="1F7D8DBD" w:rsidR="00736E65" w:rsidRPr="00062B0E" w:rsidRDefault="00736E65" w:rsidP="00062B0E">
      <w:pPr>
        <w:spacing w:line="360" w:lineRule="auto"/>
        <w:jc w:val="both"/>
        <w:rPr>
          <w:rFonts w:asciiTheme="majorBidi" w:hAnsiTheme="majorBidi" w:cstheme="majorBidi"/>
          <w:sz w:val="24"/>
          <w:szCs w:val="24"/>
        </w:rPr>
      </w:pPr>
      <w:r w:rsidRPr="00062B0E">
        <w:rPr>
          <w:rFonts w:asciiTheme="majorBidi" w:hAnsiTheme="majorBidi" w:cstheme="majorBidi"/>
          <w:sz w:val="24"/>
          <w:szCs w:val="24"/>
        </w:rPr>
        <w:t xml:space="preserve">The next speaker, </w:t>
      </w:r>
      <w:r w:rsidR="005E4B8D" w:rsidRPr="00062B0E">
        <w:rPr>
          <w:rFonts w:asciiTheme="majorBidi" w:hAnsiTheme="majorBidi" w:cstheme="majorBidi"/>
          <w:b/>
          <w:bCs/>
          <w:sz w:val="24"/>
          <w:szCs w:val="24"/>
        </w:rPr>
        <w:t xml:space="preserve">Professor </w:t>
      </w:r>
      <w:r w:rsidRPr="00062B0E">
        <w:rPr>
          <w:rFonts w:asciiTheme="majorBidi" w:hAnsiTheme="majorBidi" w:cstheme="majorBidi"/>
          <w:b/>
          <w:bCs/>
          <w:sz w:val="24"/>
          <w:szCs w:val="24"/>
        </w:rPr>
        <w:t>Susan Watson</w:t>
      </w:r>
      <w:r w:rsidRPr="00062B0E">
        <w:rPr>
          <w:rFonts w:asciiTheme="majorBidi" w:hAnsiTheme="majorBidi" w:cstheme="majorBidi"/>
          <w:sz w:val="24"/>
          <w:szCs w:val="24"/>
        </w:rPr>
        <w:t xml:space="preserve">, shifted the focus to development of the modern corporation from a UK perspective. Her presentation on the topic, </w:t>
      </w:r>
      <w:r w:rsidRPr="00062B0E">
        <w:rPr>
          <w:rFonts w:asciiTheme="majorBidi" w:hAnsiTheme="majorBidi" w:cstheme="majorBidi"/>
          <w:b/>
          <w:bCs/>
          <w:sz w:val="24"/>
          <w:szCs w:val="24"/>
        </w:rPr>
        <w:t xml:space="preserve">Good </w:t>
      </w:r>
      <w:proofErr w:type="gramStart"/>
      <w:r w:rsidRPr="00062B0E">
        <w:rPr>
          <w:rFonts w:asciiTheme="majorBidi" w:hAnsiTheme="majorBidi" w:cstheme="majorBidi"/>
          <w:b/>
          <w:bCs/>
          <w:sz w:val="24"/>
          <w:szCs w:val="24"/>
        </w:rPr>
        <w:t>Faith</w:t>
      </w:r>
      <w:proofErr w:type="gramEnd"/>
      <w:r w:rsidRPr="00062B0E">
        <w:rPr>
          <w:rFonts w:asciiTheme="majorBidi" w:hAnsiTheme="majorBidi" w:cstheme="majorBidi"/>
          <w:b/>
          <w:bCs/>
          <w:sz w:val="24"/>
          <w:szCs w:val="24"/>
        </w:rPr>
        <w:t xml:space="preserve"> and Corporate Purpose: An Origin Story</w:t>
      </w:r>
      <w:r w:rsidRPr="00062B0E">
        <w:rPr>
          <w:rFonts w:asciiTheme="majorBidi" w:hAnsiTheme="majorBidi" w:cstheme="majorBidi"/>
          <w:sz w:val="24"/>
          <w:szCs w:val="24"/>
        </w:rPr>
        <w:t xml:space="preserve">, explored the origins of the duty of good faith, tracing it to the oaths sworn by directors of governing bodies of some UK companies in the seventeenth and eighteenth centuries. In her presentation, Professor Watson scrutinised the wording of these oaths and argued that there is evidence suggesting that the oaths and resulting duty were designed to ensure that controlling shareholders, as members of governing bodies of business corporations, treated minority shareholders equitably. She considered </w:t>
      </w:r>
      <w:r w:rsidR="000551F5" w:rsidRPr="00062B0E">
        <w:rPr>
          <w:rFonts w:asciiTheme="majorBidi" w:hAnsiTheme="majorBidi" w:cstheme="majorBidi"/>
          <w:sz w:val="24"/>
          <w:szCs w:val="24"/>
        </w:rPr>
        <w:t xml:space="preserve">the </w:t>
      </w:r>
      <w:r w:rsidR="001739D0" w:rsidRPr="00062B0E">
        <w:rPr>
          <w:rFonts w:asciiTheme="majorBidi" w:hAnsiTheme="majorBidi" w:cstheme="majorBidi"/>
          <w:sz w:val="24"/>
          <w:szCs w:val="24"/>
        </w:rPr>
        <w:t xml:space="preserve">watershed </w:t>
      </w:r>
      <w:r w:rsidR="003F7C3C" w:rsidRPr="00062B0E">
        <w:rPr>
          <w:rFonts w:asciiTheme="majorBidi" w:hAnsiTheme="majorBidi" w:cstheme="majorBidi"/>
          <w:sz w:val="24"/>
          <w:szCs w:val="24"/>
        </w:rPr>
        <w:t xml:space="preserve">1742 </w:t>
      </w:r>
      <w:r w:rsidR="000551F5" w:rsidRPr="00062B0E">
        <w:rPr>
          <w:rFonts w:asciiTheme="majorBidi" w:hAnsiTheme="majorBidi" w:cstheme="majorBidi"/>
          <w:sz w:val="24"/>
          <w:szCs w:val="24"/>
        </w:rPr>
        <w:t xml:space="preserve">decision </w:t>
      </w:r>
      <w:r w:rsidR="001739D0" w:rsidRPr="00062B0E">
        <w:rPr>
          <w:rFonts w:asciiTheme="majorBidi" w:hAnsiTheme="majorBidi" w:cstheme="majorBidi"/>
          <w:sz w:val="24"/>
          <w:szCs w:val="24"/>
        </w:rPr>
        <w:t xml:space="preserve">on fiduciary duties of directors, </w:t>
      </w:r>
      <w:r w:rsidRPr="00062B0E">
        <w:rPr>
          <w:rFonts w:asciiTheme="majorBidi" w:hAnsiTheme="majorBidi" w:cstheme="majorBidi"/>
          <w:i/>
          <w:iCs/>
          <w:sz w:val="24"/>
          <w:szCs w:val="24"/>
        </w:rPr>
        <w:t>Charitable Corp v Sutton</w:t>
      </w:r>
      <w:r w:rsidRPr="00062B0E">
        <w:rPr>
          <w:rFonts w:asciiTheme="majorBidi" w:hAnsiTheme="majorBidi" w:cstheme="majorBidi"/>
          <w:sz w:val="24"/>
          <w:szCs w:val="24"/>
        </w:rPr>
        <w:t xml:space="preserve"> </w:t>
      </w:r>
      <w:r w:rsidR="001A384C" w:rsidRPr="00062B0E">
        <w:rPr>
          <w:rFonts w:asciiTheme="majorBidi" w:hAnsiTheme="majorBidi" w:cstheme="majorBidi"/>
          <w:sz w:val="24"/>
          <w:szCs w:val="24"/>
        </w:rPr>
        <w:t>(</w:t>
      </w:r>
      <w:r w:rsidR="001A384C" w:rsidRPr="00062B0E">
        <w:rPr>
          <w:rFonts w:asciiTheme="majorBidi" w:hAnsiTheme="majorBidi" w:cstheme="majorBidi"/>
          <w:i/>
          <w:iCs/>
          <w:sz w:val="24"/>
          <w:szCs w:val="24"/>
        </w:rPr>
        <w:t xml:space="preserve">Sutton’s </w:t>
      </w:r>
      <w:r w:rsidR="001A384C" w:rsidRPr="00062B0E">
        <w:rPr>
          <w:rFonts w:asciiTheme="majorBidi" w:hAnsiTheme="majorBidi" w:cstheme="majorBidi"/>
          <w:sz w:val="24"/>
          <w:szCs w:val="24"/>
        </w:rPr>
        <w:t xml:space="preserve">case) </w:t>
      </w:r>
      <w:r w:rsidRPr="00062B0E">
        <w:rPr>
          <w:rFonts w:asciiTheme="majorBidi" w:hAnsiTheme="majorBidi" w:cstheme="majorBidi"/>
          <w:sz w:val="24"/>
          <w:szCs w:val="24"/>
        </w:rPr>
        <w:t>within th</w:t>
      </w:r>
      <w:r w:rsidR="001739D0" w:rsidRPr="00062B0E">
        <w:rPr>
          <w:rFonts w:asciiTheme="majorBidi" w:hAnsiTheme="majorBidi" w:cstheme="majorBidi"/>
          <w:sz w:val="24"/>
          <w:szCs w:val="24"/>
        </w:rPr>
        <w:t>is</w:t>
      </w:r>
      <w:r w:rsidRPr="00062B0E">
        <w:rPr>
          <w:rFonts w:asciiTheme="majorBidi" w:hAnsiTheme="majorBidi" w:cstheme="majorBidi"/>
          <w:sz w:val="24"/>
          <w:szCs w:val="24"/>
        </w:rPr>
        <w:t xml:space="preserve"> historical context.</w:t>
      </w:r>
    </w:p>
    <w:p w14:paraId="08E02793" w14:textId="7E5F85B5" w:rsidR="00736E65" w:rsidRPr="00062B0E" w:rsidRDefault="00736E65" w:rsidP="00062B0E">
      <w:pPr>
        <w:spacing w:line="360" w:lineRule="auto"/>
        <w:jc w:val="both"/>
        <w:rPr>
          <w:rFonts w:asciiTheme="majorBidi" w:hAnsiTheme="majorBidi" w:cstheme="majorBidi"/>
          <w:sz w:val="24"/>
          <w:szCs w:val="24"/>
        </w:rPr>
      </w:pPr>
      <w:r w:rsidRPr="00062B0E">
        <w:rPr>
          <w:rFonts w:asciiTheme="majorBidi" w:hAnsiTheme="majorBidi" w:cstheme="majorBidi"/>
          <w:sz w:val="24"/>
          <w:szCs w:val="24"/>
        </w:rPr>
        <w:t>Professor Watson’s analysis suggested that although the good faith duty is not owed to shareholders collectively at any time</w:t>
      </w:r>
      <w:r w:rsidR="00363637" w:rsidRPr="00062B0E">
        <w:rPr>
          <w:rFonts w:asciiTheme="majorBidi" w:hAnsiTheme="majorBidi" w:cstheme="majorBidi"/>
          <w:sz w:val="24"/>
          <w:szCs w:val="24"/>
        </w:rPr>
        <w:t xml:space="preserve"> -</w:t>
      </w:r>
      <w:r w:rsidRPr="00062B0E">
        <w:rPr>
          <w:rFonts w:asciiTheme="majorBidi" w:hAnsiTheme="majorBidi" w:cstheme="majorBidi"/>
          <w:sz w:val="24"/>
          <w:szCs w:val="24"/>
        </w:rPr>
        <w:t xml:space="preserve"> but rather to the company as a separate entity from its shareholders</w:t>
      </w:r>
      <w:r w:rsidR="00363637" w:rsidRPr="00062B0E">
        <w:rPr>
          <w:rFonts w:asciiTheme="majorBidi" w:hAnsiTheme="majorBidi" w:cstheme="majorBidi"/>
          <w:sz w:val="24"/>
          <w:szCs w:val="24"/>
        </w:rPr>
        <w:t xml:space="preserve"> -</w:t>
      </w:r>
      <w:r w:rsidRPr="00062B0E">
        <w:rPr>
          <w:rFonts w:asciiTheme="majorBidi" w:hAnsiTheme="majorBidi" w:cstheme="majorBidi"/>
          <w:sz w:val="24"/>
          <w:szCs w:val="24"/>
        </w:rPr>
        <w:t xml:space="preserve"> the duty nonetheless encompasses the interests of shareholders by virtue of their </w:t>
      </w:r>
      <w:r w:rsidR="004722D5" w:rsidRPr="00062B0E">
        <w:rPr>
          <w:rFonts w:asciiTheme="majorBidi" w:hAnsiTheme="majorBidi" w:cstheme="majorBidi"/>
          <w:sz w:val="24"/>
          <w:szCs w:val="24"/>
        </w:rPr>
        <w:t xml:space="preserve">contribution to </w:t>
      </w:r>
      <w:r w:rsidRPr="00062B0E">
        <w:rPr>
          <w:rFonts w:asciiTheme="majorBidi" w:hAnsiTheme="majorBidi" w:cstheme="majorBidi"/>
          <w:sz w:val="24"/>
          <w:szCs w:val="24"/>
        </w:rPr>
        <w:t>the capital base of the Corporate Fund</w:t>
      </w:r>
      <w:r w:rsidR="00AA7DAE" w:rsidRPr="00062B0E">
        <w:rPr>
          <w:rFonts w:asciiTheme="majorBidi" w:hAnsiTheme="majorBidi" w:cstheme="majorBidi"/>
          <w:sz w:val="24"/>
          <w:szCs w:val="24"/>
        </w:rPr>
        <w:t xml:space="preserve"> of any solvent company</w:t>
      </w:r>
      <w:r w:rsidRPr="00062B0E">
        <w:rPr>
          <w:rFonts w:asciiTheme="majorBidi" w:hAnsiTheme="majorBidi" w:cstheme="majorBidi"/>
          <w:sz w:val="24"/>
          <w:szCs w:val="24"/>
        </w:rPr>
        <w:t xml:space="preserve">. </w:t>
      </w:r>
      <w:r w:rsidR="00F86226" w:rsidRPr="00062B0E">
        <w:rPr>
          <w:rFonts w:asciiTheme="majorBidi" w:hAnsiTheme="majorBidi" w:cstheme="majorBidi"/>
          <w:sz w:val="24"/>
          <w:szCs w:val="24"/>
        </w:rPr>
        <w:t xml:space="preserve">In her view, </w:t>
      </w:r>
      <w:r w:rsidRPr="00062B0E">
        <w:rPr>
          <w:rFonts w:asciiTheme="majorBidi" w:hAnsiTheme="majorBidi" w:cstheme="majorBidi"/>
          <w:sz w:val="24"/>
          <w:szCs w:val="24"/>
        </w:rPr>
        <w:t xml:space="preserve">the duty of good faith derives from an obligation of even longer standing – the obligation that governing bodies of corporations ensure compliance with the purpose contained in the corporation’s charter. </w:t>
      </w:r>
    </w:p>
    <w:p w14:paraId="5521A62B" w14:textId="0CF3696F" w:rsidR="00736E65" w:rsidRPr="00062B0E" w:rsidRDefault="00736E65" w:rsidP="00062B0E">
      <w:pPr>
        <w:spacing w:line="360" w:lineRule="auto"/>
        <w:jc w:val="both"/>
        <w:rPr>
          <w:rFonts w:asciiTheme="majorBidi" w:hAnsiTheme="majorBidi" w:cstheme="majorBidi"/>
          <w:sz w:val="24"/>
          <w:szCs w:val="24"/>
        </w:rPr>
      </w:pPr>
      <w:r w:rsidRPr="00062B0E">
        <w:rPr>
          <w:rFonts w:asciiTheme="majorBidi" w:hAnsiTheme="majorBidi" w:cstheme="majorBidi"/>
          <w:sz w:val="24"/>
          <w:szCs w:val="24"/>
        </w:rPr>
        <w:t xml:space="preserve">The central argument in Professor Watson’s presentation was that </w:t>
      </w:r>
      <w:r w:rsidR="00377B12" w:rsidRPr="00062B0E">
        <w:rPr>
          <w:rFonts w:asciiTheme="majorBidi" w:hAnsiTheme="majorBidi" w:cstheme="majorBidi"/>
          <w:sz w:val="24"/>
          <w:szCs w:val="24"/>
        </w:rPr>
        <w:t xml:space="preserve">a </w:t>
      </w:r>
      <w:r w:rsidRPr="00062B0E">
        <w:rPr>
          <w:rFonts w:asciiTheme="majorBidi" w:hAnsiTheme="majorBidi" w:cstheme="majorBidi"/>
          <w:sz w:val="24"/>
          <w:szCs w:val="24"/>
        </w:rPr>
        <w:t xml:space="preserve">directors’ duty to act in good faith and the best </w:t>
      </w:r>
      <w:proofErr w:type="gramStart"/>
      <w:r w:rsidRPr="00062B0E">
        <w:rPr>
          <w:rFonts w:asciiTheme="majorBidi" w:hAnsiTheme="majorBidi" w:cstheme="majorBidi"/>
          <w:sz w:val="24"/>
          <w:szCs w:val="24"/>
        </w:rPr>
        <w:t>interests</w:t>
      </w:r>
      <w:proofErr w:type="gramEnd"/>
      <w:r w:rsidRPr="00062B0E">
        <w:rPr>
          <w:rFonts w:asciiTheme="majorBidi" w:hAnsiTheme="majorBidi" w:cstheme="majorBidi"/>
          <w:sz w:val="24"/>
          <w:szCs w:val="24"/>
        </w:rPr>
        <w:t xml:space="preserve"> of the company is based on the interests of shareholders held in the corporate entity</w:t>
      </w:r>
      <w:r w:rsidR="001A384C" w:rsidRPr="00062B0E">
        <w:rPr>
          <w:rFonts w:asciiTheme="majorBidi" w:hAnsiTheme="majorBidi" w:cstheme="majorBidi"/>
          <w:sz w:val="24"/>
          <w:szCs w:val="24"/>
        </w:rPr>
        <w:t>,</w:t>
      </w:r>
      <w:r w:rsidRPr="00062B0E">
        <w:rPr>
          <w:rFonts w:asciiTheme="majorBidi" w:hAnsiTheme="majorBidi" w:cstheme="majorBidi"/>
          <w:sz w:val="24"/>
          <w:szCs w:val="24"/>
        </w:rPr>
        <w:t xml:space="preserve"> with that duty potentially bounded by corporate purpose.</w:t>
      </w:r>
    </w:p>
    <w:p w14:paraId="26672AA2" w14:textId="1E42590E" w:rsidR="000551F5" w:rsidRPr="00062B0E" w:rsidRDefault="000551F5" w:rsidP="00062B0E">
      <w:pPr>
        <w:spacing w:line="360" w:lineRule="auto"/>
        <w:jc w:val="both"/>
        <w:rPr>
          <w:rFonts w:asciiTheme="majorBidi" w:hAnsiTheme="majorBidi" w:cstheme="majorBidi"/>
          <w:sz w:val="24"/>
          <w:szCs w:val="24"/>
        </w:rPr>
      </w:pPr>
      <w:r w:rsidRPr="00062B0E">
        <w:rPr>
          <w:rFonts w:asciiTheme="majorBidi" w:hAnsiTheme="majorBidi" w:cstheme="majorBidi"/>
          <w:sz w:val="24"/>
          <w:szCs w:val="24"/>
        </w:rPr>
        <w:t>The final two papers in Session 1 provided a deep dive into the historical role of directors and corporate officers as fiduciaries</w:t>
      </w:r>
      <w:r w:rsidR="001A384C" w:rsidRPr="00062B0E">
        <w:rPr>
          <w:rFonts w:asciiTheme="majorBidi" w:hAnsiTheme="majorBidi" w:cstheme="majorBidi"/>
          <w:sz w:val="24"/>
          <w:szCs w:val="24"/>
        </w:rPr>
        <w:t xml:space="preserve">, with further analysis of </w:t>
      </w:r>
      <w:r w:rsidRPr="00062B0E">
        <w:rPr>
          <w:rFonts w:asciiTheme="majorBidi" w:hAnsiTheme="majorBidi" w:cstheme="majorBidi"/>
          <w:sz w:val="24"/>
          <w:szCs w:val="24"/>
        </w:rPr>
        <w:t xml:space="preserve">the significance of the </w:t>
      </w:r>
      <w:r w:rsidR="003E2B46" w:rsidRPr="00062B0E">
        <w:rPr>
          <w:rFonts w:asciiTheme="majorBidi" w:hAnsiTheme="majorBidi" w:cstheme="majorBidi"/>
          <w:sz w:val="24"/>
          <w:szCs w:val="24"/>
        </w:rPr>
        <w:t xml:space="preserve">Lord Hardwick </w:t>
      </w:r>
      <w:r w:rsidRPr="00062B0E">
        <w:rPr>
          <w:rFonts w:asciiTheme="majorBidi" w:hAnsiTheme="majorBidi" w:cstheme="majorBidi"/>
          <w:sz w:val="24"/>
          <w:szCs w:val="24"/>
        </w:rPr>
        <w:t>seminal decision</w:t>
      </w:r>
      <w:r w:rsidR="003E2B46" w:rsidRPr="00062B0E">
        <w:rPr>
          <w:rFonts w:asciiTheme="majorBidi" w:hAnsiTheme="majorBidi" w:cstheme="majorBidi"/>
          <w:sz w:val="24"/>
          <w:szCs w:val="24"/>
        </w:rPr>
        <w:t xml:space="preserve"> </w:t>
      </w:r>
      <w:r w:rsidRPr="00062B0E">
        <w:rPr>
          <w:rFonts w:asciiTheme="majorBidi" w:hAnsiTheme="majorBidi" w:cstheme="majorBidi"/>
          <w:sz w:val="24"/>
          <w:szCs w:val="24"/>
        </w:rPr>
        <w:t>in</w:t>
      </w:r>
      <w:r w:rsidR="003E2B46" w:rsidRPr="00062B0E">
        <w:rPr>
          <w:rFonts w:asciiTheme="majorBidi" w:hAnsiTheme="majorBidi" w:cstheme="majorBidi"/>
          <w:i/>
          <w:iCs/>
          <w:sz w:val="24"/>
          <w:szCs w:val="24"/>
        </w:rPr>
        <w:t xml:space="preserve"> </w:t>
      </w:r>
      <w:r w:rsidR="001A384C" w:rsidRPr="00062B0E">
        <w:rPr>
          <w:rFonts w:asciiTheme="majorBidi" w:hAnsiTheme="majorBidi" w:cstheme="majorBidi"/>
          <w:i/>
          <w:iCs/>
          <w:sz w:val="24"/>
          <w:szCs w:val="24"/>
        </w:rPr>
        <w:t xml:space="preserve">Sutton’s </w:t>
      </w:r>
      <w:r w:rsidR="001A384C" w:rsidRPr="00062B0E">
        <w:rPr>
          <w:rFonts w:asciiTheme="majorBidi" w:hAnsiTheme="majorBidi" w:cstheme="majorBidi"/>
          <w:sz w:val="24"/>
          <w:szCs w:val="24"/>
        </w:rPr>
        <w:t>case</w:t>
      </w:r>
      <w:r w:rsidRPr="00062B0E">
        <w:rPr>
          <w:rFonts w:asciiTheme="majorBidi" w:hAnsiTheme="majorBidi" w:cstheme="majorBidi"/>
          <w:sz w:val="24"/>
          <w:szCs w:val="24"/>
        </w:rPr>
        <w:t xml:space="preserve">. </w:t>
      </w:r>
    </w:p>
    <w:p w14:paraId="47EE24C8" w14:textId="5E801A3A" w:rsidR="002B464E" w:rsidRPr="00062B0E" w:rsidRDefault="000551F5" w:rsidP="00062B0E">
      <w:pPr>
        <w:spacing w:line="360" w:lineRule="auto"/>
        <w:jc w:val="both"/>
        <w:rPr>
          <w:rFonts w:asciiTheme="majorBidi" w:hAnsiTheme="majorBidi" w:cstheme="majorBidi"/>
          <w:sz w:val="24"/>
          <w:szCs w:val="24"/>
        </w:rPr>
      </w:pPr>
      <w:r w:rsidRPr="00062B0E">
        <w:rPr>
          <w:rFonts w:asciiTheme="majorBidi" w:hAnsiTheme="majorBidi" w:cstheme="majorBidi"/>
          <w:sz w:val="24"/>
          <w:szCs w:val="24"/>
        </w:rPr>
        <w:t xml:space="preserve">In their paper, </w:t>
      </w:r>
      <w:r w:rsidRPr="00062B0E">
        <w:rPr>
          <w:rFonts w:asciiTheme="majorBidi" w:hAnsiTheme="majorBidi" w:cstheme="majorBidi"/>
          <w:b/>
          <w:bCs/>
          <w:sz w:val="24"/>
          <w:szCs w:val="24"/>
        </w:rPr>
        <w:t xml:space="preserve">A Historical Re-appraisal of the Director as a Fiduciary and a New Legal Basis for Director Accountability, </w:t>
      </w:r>
      <w:r w:rsidR="003E2B46" w:rsidRPr="00062B0E">
        <w:rPr>
          <w:rFonts w:asciiTheme="majorBidi" w:hAnsiTheme="majorBidi" w:cstheme="majorBidi"/>
          <w:b/>
          <w:bCs/>
          <w:sz w:val="24"/>
          <w:szCs w:val="24"/>
        </w:rPr>
        <w:t xml:space="preserve">Dr </w:t>
      </w:r>
      <w:r w:rsidRPr="00062B0E">
        <w:rPr>
          <w:rFonts w:asciiTheme="majorBidi" w:hAnsiTheme="majorBidi" w:cstheme="majorBidi"/>
          <w:b/>
          <w:bCs/>
          <w:sz w:val="24"/>
          <w:szCs w:val="24"/>
        </w:rPr>
        <w:t xml:space="preserve">Steve </w:t>
      </w:r>
      <w:proofErr w:type="spellStart"/>
      <w:r w:rsidRPr="00062B0E">
        <w:rPr>
          <w:rFonts w:asciiTheme="majorBidi" w:hAnsiTheme="majorBidi" w:cstheme="majorBidi"/>
          <w:b/>
          <w:bCs/>
          <w:sz w:val="24"/>
          <w:szCs w:val="24"/>
        </w:rPr>
        <w:t>Kourabas</w:t>
      </w:r>
      <w:proofErr w:type="spellEnd"/>
      <w:r w:rsidRPr="00062B0E">
        <w:rPr>
          <w:rFonts w:asciiTheme="majorBidi" w:hAnsiTheme="majorBidi" w:cstheme="majorBidi"/>
          <w:sz w:val="24"/>
          <w:szCs w:val="24"/>
        </w:rPr>
        <w:t xml:space="preserve"> and</w:t>
      </w:r>
      <w:r w:rsidR="003E2B46" w:rsidRPr="00062B0E">
        <w:rPr>
          <w:rFonts w:asciiTheme="majorBidi" w:hAnsiTheme="majorBidi" w:cstheme="majorBidi"/>
          <w:sz w:val="24"/>
          <w:szCs w:val="24"/>
        </w:rPr>
        <w:t xml:space="preserve"> </w:t>
      </w:r>
      <w:r w:rsidR="003E2B46" w:rsidRPr="00062B0E">
        <w:rPr>
          <w:rFonts w:asciiTheme="majorBidi" w:hAnsiTheme="majorBidi" w:cstheme="majorBidi"/>
          <w:b/>
          <w:bCs/>
          <w:sz w:val="24"/>
          <w:szCs w:val="24"/>
        </w:rPr>
        <w:t>Dr</w:t>
      </w:r>
      <w:r w:rsidRPr="00062B0E">
        <w:rPr>
          <w:rFonts w:asciiTheme="majorBidi" w:hAnsiTheme="majorBidi" w:cstheme="majorBidi"/>
          <w:b/>
          <w:bCs/>
          <w:sz w:val="24"/>
          <w:szCs w:val="24"/>
        </w:rPr>
        <w:t xml:space="preserve"> Nick Sinanis</w:t>
      </w:r>
      <w:r w:rsidRPr="00062B0E">
        <w:rPr>
          <w:rFonts w:asciiTheme="majorBidi" w:hAnsiTheme="majorBidi" w:cstheme="majorBidi"/>
          <w:sz w:val="24"/>
          <w:szCs w:val="24"/>
        </w:rPr>
        <w:t xml:space="preserve"> noted that</w:t>
      </w:r>
      <w:r w:rsidR="003E2B46" w:rsidRPr="00062B0E">
        <w:rPr>
          <w:rFonts w:asciiTheme="majorBidi" w:hAnsiTheme="majorBidi" w:cstheme="majorBidi"/>
          <w:sz w:val="24"/>
          <w:szCs w:val="24"/>
        </w:rPr>
        <w:t xml:space="preserve">, in </w:t>
      </w:r>
      <w:r w:rsidR="003E2B46" w:rsidRPr="00062B0E">
        <w:rPr>
          <w:rFonts w:asciiTheme="majorBidi" w:hAnsiTheme="majorBidi" w:cstheme="majorBidi"/>
          <w:i/>
          <w:iCs/>
          <w:sz w:val="24"/>
          <w:szCs w:val="24"/>
        </w:rPr>
        <w:t xml:space="preserve">Sutton’s </w:t>
      </w:r>
      <w:r w:rsidR="003E2B46" w:rsidRPr="00062B0E">
        <w:rPr>
          <w:rFonts w:asciiTheme="majorBidi" w:hAnsiTheme="majorBidi" w:cstheme="majorBidi"/>
          <w:sz w:val="24"/>
          <w:szCs w:val="24"/>
        </w:rPr>
        <w:t>case,</w:t>
      </w:r>
      <w:r w:rsidRPr="00062B0E">
        <w:rPr>
          <w:rFonts w:asciiTheme="majorBidi" w:hAnsiTheme="majorBidi" w:cstheme="majorBidi"/>
          <w:sz w:val="24"/>
          <w:szCs w:val="24"/>
        </w:rPr>
        <w:t xml:space="preserve"> </w:t>
      </w:r>
      <w:r w:rsidR="003E2B46" w:rsidRPr="00062B0E">
        <w:rPr>
          <w:rFonts w:asciiTheme="majorBidi" w:hAnsiTheme="majorBidi" w:cstheme="majorBidi"/>
          <w:sz w:val="24"/>
          <w:szCs w:val="24"/>
        </w:rPr>
        <w:t>Lord Hardwick was required to determine the liability of the corporation’s ‘</w:t>
      </w:r>
      <w:proofErr w:type="gramStart"/>
      <w:r w:rsidR="003E2B46" w:rsidRPr="00062B0E">
        <w:rPr>
          <w:rFonts w:asciiTheme="majorBidi" w:hAnsiTheme="majorBidi" w:cstheme="majorBidi"/>
          <w:sz w:val="24"/>
          <w:szCs w:val="24"/>
        </w:rPr>
        <w:t>committee-men</w:t>
      </w:r>
      <w:proofErr w:type="gramEnd"/>
      <w:r w:rsidR="003E2B46" w:rsidRPr="00062B0E">
        <w:rPr>
          <w:rFonts w:asciiTheme="majorBidi" w:hAnsiTheme="majorBidi" w:cstheme="majorBidi"/>
          <w:sz w:val="24"/>
          <w:szCs w:val="24"/>
        </w:rPr>
        <w:t>’ (</w:t>
      </w:r>
      <w:proofErr w:type="spellStart"/>
      <w:r w:rsidR="003E2B46" w:rsidRPr="00062B0E">
        <w:rPr>
          <w:rFonts w:asciiTheme="majorBidi" w:hAnsiTheme="majorBidi" w:cstheme="majorBidi"/>
          <w:sz w:val="24"/>
          <w:szCs w:val="24"/>
        </w:rPr>
        <w:t>ie</w:t>
      </w:r>
      <w:proofErr w:type="spellEnd"/>
      <w:r w:rsidR="003E2B46" w:rsidRPr="00062B0E">
        <w:rPr>
          <w:rFonts w:asciiTheme="majorBidi" w:hAnsiTheme="majorBidi" w:cstheme="majorBidi"/>
          <w:sz w:val="24"/>
          <w:szCs w:val="24"/>
        </w:rPr>
        <w:t xml:space="preserve"> </w:t>
      </w:r>
      <w:r w:rsidR="00575F49" w:rsidRPr="00062B0E">
        <w:rPr>
          <w:rFonts w:asciiTheme="majorBidi" w:hAnsiTheme="majorBidi" w:cstheme="majorBidi"/>
          <w:sz w:val="24"/>
          <w:szCs w:val="24"/>
        </w:rPr>
        <w:t xml:space="preserve">its </w:t>
      </w:r>
      <w:r w:rsidR="003E2B46" w:rsidRPr="00062B0E">
        <w:rPr>
          <w:rFonts w:asciiTheme="majorBidi" w:hAnsiTheme="majorBidi" w:cstheme="majorBidi"/>
          <w:sz w:val="24"/>
          <w:szCs w:val="24"/>
        </w:rPr>
        <w:t xml:space="preserve">directors), officers, servants and others with respect to a claim of ‘breach of trust, fraud and mismanagement’. The judge did this via analogy between </w:t>
      </w:r>
      <w:proofErr w:type="gramStart"/>
      <w:r w:rsidR="003E2B46" w:rsidRPr="00062B0E">
        <w:rPr>
          <w:rFonts w:asciiTheme="majorBidi" w:hAnsiTheme="majorBidi" w:cstheme="majorBidi"/>
          <w:sz w:val="24"/>
          <w:szCs w:val="24"/>
        </w:rPr>
        <w:t>committee-men</w:t>
      </w:r>
      <w:proofErr w:type="gramEnd"/>
      <w:r w:rsidR="003E2B46" w:rsidRPr="00062B0E">
        <w:rPr>
          <w:rFonts w:asciiTheme="majorBidi" w:hAnsiTheme="majorBidi" w:cstheme="majorBidi"/>
          <w:sz w:val="24"/>
          <w:szCs w:val="24"/>
        </w:rPr>
        <w:t xml:space="preserve">/directors, on the one hand, and agents and trustees on the other. </w:t>
      </w:r>
      <w:r w:rsidR="003E2B46" w:rsidRPr="00062B0E">
        <w:rPr>
          <w:rFonts w:asciiTheme="majorBidi" w:hAnsiTheme="majorBidi" w:cstheme="majorBidi"/>
          <w:i/>
          <w:iCs/>
          <w:sz w:val="24"/>
          <w:szCs w:val="24"/>
        </w:rPr>
        <w:t>Sutton’s</w:t>
      </w:r>
      <w:r w:rsidR="003E2B46" w:rsidRPr="00062B0E">
        <w:rPr>
          <w:rFonts w:asciiTheme="majorBidi" w:hAnsiTheme="majorBidi" w:cstheme="majorBidi"/>
          <w:sz w:val="24"/>
          <w:szCs w:val="24"/>
        </w:rPr>
        <w:t xml:space="preserve"> case, </w:t>
      </w:r>
      <w:r w:rsidR="003E2B46" w:rsidRPr="00062B0E">
        <w:rPr>
          <w:rFonts w:asciiTheme="majorBidi" w:hAnsiTheme="majorBidi" w:cstheme="majorBidi"/>
          <w:sz w:val="24"/>
          <w:szCs w:val="24"/>
        </w:rPr>
        <w:lastRenderedPageBreak/>
        <w:t xml:space="preserve">and other early cases like it, established a grounding of directors' duties in equity that has persisted to this day.  </w:t>
      </w:r>
    </w:p>
    <w:p w14:paraId="2F6DD002" w14:textId="66B0ED29" w:rsidR="003E2B46" w:rsidRPr="00062B0E" w:rsidRDefault="002B464E" w:rsidP="00062B0E">
      <w:pPr>
        <w:spacing w:line="360" w:lineRule="auto"/>
        <w:jc w:val="both"/>
        <w:rPr>
          <w:rFonts w:asciiTheme="majorBidi" w:hAnsiTheme="majorBidi" w:cstheme="majorBidi"/>
          <w:sz w:val="24"/>
          <w:szCs w:val="24"/>
        </w:rPr>
      </w:pPr>
      <w:r w:rsidRPr="00062B0E">
        <w:rPr>
          <w:rFonts w:asciiTheme="majorBidi" w:hAnsiTheme="majorBidi" w:cstheme="majorBidi"/>
          <w:sz w:val="24"/>
          <w:szCs w:val="24"/>
        </w:rPr>
        <w:t xml:space="preserve">The presentation by Dr </w:t>
      </w:r>
      <w:proofErr w:type="spellStart"/>
      <w:r w:rsidRPr="00062B0E">
        <w:rPr>
          <w:rFonts w:asciiTheme="majorBidi" w:hAnsiTheme="majorBidi" w:cstheme="majorBidi"/>
          <w:sz w:val="24"/>
          <w:szCs w:val="24"/>
        </w:rPr>
        <w:t>Kourabas</w:t>
      </w:r>
      <w:proofErr w:type="spellEnd"/>
      <w:r w:rsidRPr="00062B0E">
        <w:rPr>
          <w:rFonts w:asciiTheme="majorBidi" w:hAnsiTheme="majorBidi" w:cstheme="majorBidi"/>
          <w:sz w:val="24"/>
          <w:szCs w:val="24"/>
        </w:rPr>
        <w:t xml:space="preserve"> and Dr Sinanis represented </w:t>
      </w:r>
      <w:r w:rsidR="003E2B46" w:rsidRPr="00062B0E">
        <w:rPr>
          <w:rFonts w:asciiTheme="majorBidi" w:hAnsiTheme="majorBidi" w:cstheme="majorBidi"/>
          <w:sz w:val="24"/>
          <w:szCs w:val="24"/>
        </w:rPr>
        <w:t xml:space="preserve">part of </w:t>
      </w:r>
      <w:r w:rsidR="00AE5F7A" w:rsidRPr="00062B0E">
        <w:rPr>
          <w:rFonts w:asciiTheme="majorBidi" w:hAnsiTheme="majorBidi" w:cstheme="majorBidi"/>
          <w:sz w:val="24"/>
          <w:szCs w:val="24"/>
        </w:rPr>
        <w:t>their</w:t>
      </w:r>
      <w:r w:rsidR="003E2B46" w:rsidRPr="00062B0E">
        <w:rPr>
          <w:rFonts w:asciiTheme="majorBidi" w:hAnsiTheme="majorBidi" w:cstheme="majorBidi"/>
          <w:sz w:val="24"/>
          <w:szCs w:val="24"/>
        </w:rPr>
        <w:t xml:space="preserve"> larger </w:t>
      </w:r>
      <w:r w:rsidRPr="00062B0E">
        <w:rPr>
          <w:rFonts w:asciiTheme="majorBidi" w:hAnsiTheme="majorBidi" w:cstheme="majorBidi"/>
          <w:sz w:val="24"/>
          <w:szCs w:val="24"/>
        </w:rPr>
        <w:t xml:space="preserve">research </w:t>
      </w:r>
      <w:r w:rsidR="003E2B46" w:rsidRPr="00062B0E">
        <w:rPr>
          <w:rFonts w:asciiTheme="majorBidi" w:hAnsiTheme="majorBidi" w:cstheme="majorBidi"/>
          <w:sz w:val="24"/>
          <w:szCs w:val="24"/>
        </w:rPr>
        <w:t xml:space="preserve">project that </w:t>
      </w:r>
      <w:r w:rsidRPr="00062B0E">
        <w:rPr>
          <w:rFonts w:asciiTheme="majorBidi" w:hAnsiTheme="majorBidi" w:cstheme="majorBidi"/>
          <w:sz w:val="24"/>
          <w:szCs w:val="24"/>
        </w:rPr>
        <w:t xml:space="preserve">is designed to </w:t>
      </w:r>
      <w:r w:rsidR="003E2B46" w:rsidRPr="00062B0E">
        <w:rPr>
          <w:rFonts w:asciiTheme="majorBidi" w:hAnsiTheme="majorBidi" w:cstheme="majorBidi"/>
          <w:sz w:val="24"/>
          <w:szCs w:val="24"/>
        </w:rPr>
        <w:t>critically analyse</w:t>
      </w:r>
      <w:r w:rsidRPr="00062B0E">
        <w:rPr>
          <w:rFonts w:asciiTheme="majorBidi" w:hAnsiTheme="majorBidi" w:cstheme="majorBidi"/>
          <w:sz w:val="24"/>
          <w:szCs w:val="24"/>
        </w:rPr>
        <w:t>, through a historical and institutionalist lens,</w:t>
      </w:r>
      <w:r w:rsidR="003E2B46" w:rsidRPr="00062B0E">
        <w:rPr>
          <w:rFonts w:asciiTheme="majorBidi" w:hAnsiTheme="majorBidi" w:cstheme="majorBidi"/>
          <w:sz w:val="24"/>
          <w:szCs w:val="24"/>
        </w:rPr>
        <w:t xml:space="preserve"> why equity was used as an accountability mechanism in the 18th and 19</w:t>
      </w:r>
      <w:r w:rsidR="003E2B46" w:rsidRPr="00062B0E">
        <w:rPr>
          <w:rFonts w:asciiTheme="majorBidi" w:hAnsiTheme="majorBidi" w:cstheme="majorBidi"/>
          <w:sz w:val="24"/>
          <w:szCs w:val="24"/>
          <w:vertAlign w:val="superscript"/>
        </w:rPr>
        <w:t>th</w:t>
      </w:r>
      <w:r w:rsidRPr="00062B0E">
        <w:rPr>
          <w:rFonts w:asciiTheme="majorBidi" w:hAnsiTheme="majorBidi" w:cstheme="majorBidi"/>
          <w:sz w:val="24"/>
          <w:szCs w:val="24"/>
        </w:rPr>
        <w:t xml:space="preserve"> </w:t>
      </w:r>
      <w:r w:rsidR="003E2B46" w:rsidRPr="00062B0E">
        <w:rPr>
          <w:rFonts w:asciiTheme="majorBidi" w:hAnsiTheme="majorBidi" w:cstheme="majorBidi"/>
          <w:sz w:val="24"/>
          <w:szCs w:val="24"/>
        </w:rPr>
        <w:t>centuries and the effects that this has had on company law</w:t>
      </w:r>
      <w:r w:rsidRPr="00062B0E">
        <w:rPr>
          <w:rFonts w:asciiTheme="majorBidi" w:hAnsiTheme="majorBidi" w:cstheme="majorBidi"/>
          <w:sz w:val="24"/>
          <w:szCs w:val="24"/>
        </w:rPr>
        <w:t xml:space="preserve"> in the United Kingdom</w:t>
      </w:r>
      <w:r w:rsidR="00034F52" w:rsidRPr="00062B0E">
        <w:rPr>
          <w:rFonts w:asciiTheme="majorBidi" w:hAnsiTheme="majorBidi" w:cstheme="majorBidi"/>
          <w:sz w:val="24"/>
          <w:szCs w:val="24"/>
        </w:rPr>
        <w:t xml:space="preserve"> and</w:t>
      </w:r>
      <w:r w:rsidRPr="00062B0E">
        <w:rPr>
          <w:rFonts w:asciiTheme="majorBidi" w:hAnsiTheme="majorBidi" w:cstheme="majorBidi"/>
          <w:sz w:val="24"/>
          <w:szCs w:val="24"/>
        </w:rPr>
        <w:t xml:space="preserve"> in other parts of the world, </w:t>
      </w:r>
      <w:r w:rsidR="00034F52" w:rsidRPr="00062B0E">
        <w:rPr>
          <w:rFonts w:asciiTheme="majorBidi" w:hAnsiTheme="majorBidi" w:cstheme="majorBidi"/>
          <w:sz w:val="24"/>
          <w:szCs w:val="24"/>
        </w:rPr>
        <w:t xml:space="preserve">including Australia and </w:t>
      </w:r>
      <w:r w:rsidRPr="00062B0E">
        <w:rPr>
          <w:rFonts w:asciiTheme="majorBidi" w:hAnsiTheme="majorBidi" w:cstheme="majorBidi"/>
          <w:sz w:val="24"/>
          <w:szCs w:val="24"/>
        </w:rPr>
        <w:t>the United States</w:t>
      </w:r>
      <w:r w:rsidR="00034F52" w:rsidRPr="00062B0E">
        <w:rPr>
          <w:rFonts w:asciiTheme="majorBidi" w:hAnsiTheme="majorBidi" w:cstheme="majorBidi"/>
          <w:sz w:val="24"/>
          <w:szCs w:val="24"/>
        </w:rPr>
        <w:t xml:space="preserve">, </w:t>
      </w:r>
      <w:r w:rsidRPr="00062B0E">
        <w:rPr>
          <w:rFonts w:asciiTheme="majorBidi" w:hAnsiTheme="majorBidi" w:cstheme="majorBidi"/>
          <w:sz w:val="24"/>
          <w:szCs w:val="24"/>
        </w:rPr>
        <w:t xml:space="preserve">where the leading corporate law courts in Delaware </w:t>
      </w:r>
      <w:r w:rsidR="00034F52" w:rsidRPr="00062B0E">
        <w:rPr>
          <w:rFonts w:asciiTheme="majorBidi" w:hAnsiTheme="majorBidi" w:cstheme="majorBidi"/>
          <w:sz w:val="24"/>
          <w:szCs w:val="24"/>
        </w:rPr>
        <w:t>are courts of equity.</w:t>
      </w:r>
      <w:r w:rsidR="003E2B46" w:rsidRPr="00062B0E">
        <w:rPr>
          <w:rFonts w:asciiTheme="majorBidi" w:hAnsiTheme="majorBidi" w:cstheme="majorBidi"/>
          <w:sz w:val="24"/>
          <w:szCs w:val="24"/>
        </w:rPr>
        <w:t xml:space="preserve"> </w:t>
      </w:r>
    </w:p>
    <w:p w14:paraId="6F12E736" w14:textId="7A6CEBCC" w:rsidR="003961F0" w:rsidRPr="00062B0E" w:rsidRDefault="003961F0" w:rsidP="00062B0E">
      <w:pPr>
        <w:spacing w:line="360" w:lineRule="auto"/>
        <w:jc w:val="both"/>
        <w:rPr>
          <w:rFonts w:asciiTheme="majorBidi" w:hAnsiTheme="majorBidi" w:cstheme="majorBidi"/>
          <w:sz w:val="24"/>
          <w:szCs w:val="24"/>
        </w:rPr>
      </w:pPr>
      <w:r w:rsidRPr="00062B0E">
        <w:rPr>
          <w:rFonts w:asciiTheme="majorBidi" w:hAnsiTheme="majorBidi" w:cstheme="majorBidi"/>
          <w:sz w:val="24"/>
          <w:szCs w:val="24"/>
        </w:rPr>
        <w:t xml:space="preserve">The presentation by </w:t>
      </w:r>
      <w:r w:rsidRPr="00062B0E">
        <w:rPr>
          <w:rFonts w:asciiTheme="majorBidi" w:hAnsiTheme="majorBidi" w:cstheme="majorBidi"/>
          <w:b/>
          <w:bCs/>
          <w:sz w:val="24"/>
          <w:szCs w:val="24"/>
        </w:rPr>
        <w:t>Associate Professor Timothy Peters</w:t>
      </w:r>
      <w:r w:rsidRPr="00062B0E">
        <w:rPr>
          <w:rFonts w:asciiTheme="majorBidi" w:hAnsiTheme="majorBidi" w:cstheme="majorBidi"/>
          <w:sz w:val="24"/>
          <w:szCs w:val="24"/>
        </w:rPr>
        <w:t xml:space="preserve">, </w:t>
      </w:r>
      <w:r w:rsidRPr="00062B0E">
        <w:rPr>
          <w:rFonts w:asciiTheme="majorBidi" w:hAnsiTheme="majorBidi" w:cstheme="majorBidi"/>
          <w:b/>
          <w:bCs/>
          <w:sz w:val="24"/>
          <w:szCs w:val="24"/>
        </w:rPr>
        <w:t>On the History of Corporate Office</w:t>
      </w:r>
      <w:r w:rsidRPr="00062B0E">
        <w:rPr>
          <w:rFonts w:asciiTheme="majorBidi" w:hAnsiTheme="majorBidi" w:cstheme="majorBidi"/>
          <w:sz w:val="24"/>
          <w:szCs w:val="24"/>
        </w:rPr>
        <w:t xml:space="preserve">, examined the role and responsibilities of company office holders from the perspective of corporate power. His presentation </w:t>
      </w:r>
      <w:r w:rsidR="006E2A75" w:rsidRPr="00062B0E">
        <w:rPr>
          <w:rFonts w:asciiTheme="majorBidi" w:hAnsiTheme="majorBidi" w:cstheme="majorBidi"/>
          <w:sz w:val="24"/>
          <w:szCs w:val="24"/>
        </w:rPr>
        <w:t xml:space="preserve">also </w:t>
      </w:r>
      <w:r w:rsidRPr="00062B0E">
        <w:rPr>
          <w:rFonts w:asciiTheme="majorBidi" w:hAnsiTheme="majorBidi" w:cstheme="majorBidi"/>
          <w:sz w:val="24"/>
          <w:szCs w:val="24"/>
        </w:rPr>
        <w:t>form</w:t>
      </w:r>
      <w:r w:rsidR="006E2A75" w:rsidRPr="00062B0E">
        <w:rPr>
          <w:rFonts w:asciiTheme="majorBidi" w:hAnsiTheme="majorBidi" w:cstheme="majorBidi"/>
          <w:sz w:val="24"/>
          <w:szCs w:val="24"/>
        </w:rPr>
        <w:t>ed</w:t>
      </w:r>
      <w:r w:rsidRPr="00062B0E">
        <w:rPr>
          <w:rFonts w:asciiTheme="majorBidi" w:hAnsiTheme="majorBidi" w:cstheme="majorBidi"/>
          <w:sz w:val="24"/>
          <w:szCs w:val="24"/>
        </w:rPr>
        <w:t xml:space="preserve"> part of a larger </w:t>
      </w:r>
      <w:r w:rsidR="006E2A75" w:rsidRPr="00062B0E">
        <w:rPr>
          <w:rFonts w:asciiTheme="majorBidi" w:hAnsiTheme="majorBidi" w:cstheme="majorBidi"/>
          <w:sz w:val="24"/>
          <w:szCs w:val="24"/>
        </w:rPr>
        <w:t xml:space="preserve">research </w:t>
      </w:r>
      <w:r w:rsidRPr="00062B0E">
        <w:rPr>
          <w:rFonts w:asciiTheme="majorBidi" w:hAnsiTheme="majorBidi" w:cstheme="majorBidi"/>
          <w:sz w:val="24"/>
          <w:szCs w:val="24"/>
        </w:rPr>
        <w:t xml:space="preserve">project that seeks to articulate an account of the constitutive vicariousness of corporate power – namely that such power is always exercised on behalf of another. </w:t>
      </w:r>
      <w:r w:rsidR="00DC441D" w:rsidRPr="00062B0E">
        <w:rPr>
          <w:rFonts w:asciiTheme="majorBidi" w:hAnsiTheme="majorBidi" w:cstheme="majorBidi"/>
          <w:sz w:val="24"/>
          <w:szCs w:val="24"/>
        </w:rPr>
        <w:t>Professor Peters sought to place our contemporary understandings of</w:t>
      </w:r>
      <w:r w:rsidR="0010382A" w:rsidRPr="00062B0E">
        <w:rPr>
          <w:rFonts w:asciiTheme="majorBidi" w:hAnsiTheme="majorBidi" w:cstheme="majorBidi"/>
          <w:sz w:val="24"/>
          <w:szCs w:val="24"/>
        </w:rPr>
        <w:t xml:space="preserve"> </w:t>
      </w:r>
      <w:r w:rsidR="00DC441D" w:rsidRPr="00062B0E">
        <w:rPr>
          <w:rFonts w:asciiTheme="majorBidi" w:hAnsiTheme="majorBidi" w:cstheme="majorBidi"/>
          <w:sz w:val="24"/>
          <w:szCs w:val="24"/>
        </w:rPr>
        <w:t>the corporation and corporate actors</w:t>
      </w:r>
      <w:r w:rsidR="0010382A" w:rsidRPr="00062B0E">
        <w:rPr>
          <w:rFonts w:asciiTheme="majorBidi" w:hAnsiTheme="majorBidi" w:cstheme="majorBidi"/>
          <w:sz w:val="24"/>
          <w:szCs w:val="24"/>
        </w:rPr>
        <w:t>,</w:t>
      </w:r>
      <w:r w:rsidR="00DC441D" w:rsidRPr="00062B0E">
        <w:rPr>
          <w:rFonts w:asciiTheme="majorBidi" w:hAnsiTheme="majorBidi" w:cstheme="majorBidi"/>
          <w:sz w:val="24"/>
          <w:szCs w:val="24"/>
        </w:rPr>
        <w:t xml:space="preserve"> </w:t>
      </w:r>
      <w:r w:rsidR="0010382A" w:rsidRPr="00062B0E">
        <w:rPr>
          <w:rFonts w:asciiTheme="majorBidi" w:hAnsiTheme="majorBidi" w:cstheme="majorBidi"/>
          <w:sz w:val="24"/>
          <w:szCs w:val="24"/>
        </w:rPr>
        <w:t xml:space="preserve">particularly </w:t>
      </w:r>
      <w:r w:rsidR="00DC441D" w:rsidRPr="00062B0E">
        <w:rPr>
          <w:rFonts w:asciiTheme="majorBidi" w:hAnsiTheme="majorBidi" w:cstheme="majorBidi"/>
          <w:sz w:val="24"/>
          <w:szCs w:val="24"/>
        </w:rPr>
        <w:t>directors and officers</w:t>
      </w:r>
      <w:r w:rsidR="0010382A" w:rsidRPr="00062B0E">
        <w:rPr>
          <w:rFonts w:asciiTheme="majorBidi" w:hAnsiTheme="majorBidi" w:cstheme="majorBidi"/>
          <w:sz w:val="24"/>
          <w:szCs w:val="24"/>
        </w:rPr>
        <w:t>,</w:t>
      </w:r>
      <w:r w:rsidR="00DC441D" w:rsidRPr="00062B0E">
        <w:rPr>
          <w:rFonts w:asciiTheme="majorBidi" w:hAnsiTheme="majorBidi" w:cstheme="majorBidi"/>
          <w:sz w:val="24"/>
          <w:szCs w:val="24"/>
        </w:rPr>
        <w:t xml:space="preserve"> in relation to an older tradition of thinking about the nature of ‘office’. This tradition interpret</w:t>
      </w:r>
      <w:r w:rsidR="00DD1FA8" w:rsidRPr="00062B0E">
        <w:rPr>
          <w:rFonts w:asciiTheme="majorBidi" w:hAnsiTheme="majorBidi" w:cstheme="majorBidi"/>
          <w:sz w:val="24"/>
          <w:szCs w:val="24"/>
        </w:rPr>
        <w:t>ed</w:t>
      </w:r>
      <w:r w:rsidR="00DC441D" w:rsidRPr="00062B0E">
        <w:rPr>
          <w:rFonts w:asciiTheme="majorBidi" w:hAnsiTheme="majorBidi" w:cstheme="majorBidi"/>
          <w:sz w:val="24"/>
          <w:szCs w:val="24"/>
        </w:rPr>
        <w:t xml:space="preserve"> office as both </w:t>
      </w:r>
      <w:r w:rsidRPr="00062B0E">
        <w:rPr>
          <w:rFonts w:asciiTheme="majorBidi" w:hAnsiTheme="majorBidi" w:cstheme="majorBidi"/>
          <w:sz w:val="24"/>
          <w:szCs w:val="24"/>
        </w:rPr>
        <w:t xml:space="preserve">mechanism of responsibility </w:t>
      </w:r>
      <w:r w:rsidR="00D44F1F" w:rsidRPr="00062B0E">
        <w:rPr>
          <w:rFonts w:asciiTheme="majorBidi" w:hAnsiTheme="majorBidi" w:cstheme="majorBidi"/>
          <w:sz w:val="24"/>
          <w:szCs w:val="24"/>
        </w:rPr>
        <w:t>(</w:t>
      </w:r>
      <w:r w:rsidRPr="00062B0E">
        <w:rPr>
          <w:rFonts w:asciiTheme="majorBidi" w:hAnsiTheme="majorBidi" w:cstheme="majorBidi"/>
          <w:sz w:val="24"/>
          <w:szCs w:val="24"/>
        </w:rPr>
        <w:t>imposing not only rights but duties and obligations on the</w:t>
      </w:r>
      <w:r w:rsidR="00DC441D" w:rsidRPr="00062B0E">
        <w:rPr>
          <w:rFonts w:asciiTheme="majorBidi" w:hAnsiTheme="majorBidi" w:cstheme="majorBidi"/>
          <w:sz w:val="24"/>
          <w:szCs w:val="24"/>
        </w:rPr>
        <w:t xml:space="preserve"> </w:t>
      </w:r>
      <w:r w:rsidRPr="00062B0E">
        <w:rPr>
          <w:rFonts w:asciiTheme="majorBidi" w:hAnsiTheme="majorBidi" w:cstheme="majorBidi"/>
          <w:sz w:val="24"/>
          <w:szCs w:val="24"/>
        </w:rPr>
        <w:t>officeholder</w:t>
      </w:r>
      <w:r w:rsidR="00D44F1F" w:rsidRPr="00062B0E">
        <w:rPr>
          <w:rFonts w:asciiTheme="majorBidi" w:hAnsiTheme="majorBidi" w:cstheme="majorBidi"/>
          <w:sz w:val="24"/>
          <w:szCs w:val="24"/>
        </w:rPr>
        <w:t>)</w:t>
      </w:r>
      <w:r w:rsidRPr="00062B0E">
        <w:rPr>
          <w:rFonts w:asciiTheme="majorBidi" w:hAnsiTheme="majorBidi" w:cstheme="majorBidi"/>
          <w:sz w:val="24"/>
          <w:szCs w:val="24"/>
        </w:rPr>
        <w:t xml:space="preserve"> and a form of irresponsibility </w:t>
      </w:r>
      <w:r w:rsidR="00D44F1F" w:rsidRPr="00062B0E">
        <w:rPr>
          <w:rFonts w:asciiTheme="majorBidi" w:hAnsiTheme="majorBidi" w:cstheme="majorBidi"/>
          <w:sz w:val="24"/>
          <w:szCs w:val="24"/>
        </w:rPr>
        <w:t>(</w:t>
      </w:r>
      <w:r w:rsidRPr="00062B0E">
        <w:rPr>
          <w:rFonts w:asciiTheme="majorBidi" w:hAnsiTheme="majorBidi" w:cstheme="majorBidi"/>
          <w:sz w:val="24"/>
          <w:szCs w:val="24"/>
        </w:rPr>
        <w:t xml:space="preserve">in that the effectiveness of official actions </w:t>
      </w:r>
      <w:r w:rsidR="00DC441D" w:rsidRPr="00062B0E">
        <w:rPr>
          <w:rFonts w:asciiTheme="majorBidi" w:hAnsiTheme="majorBidi" w:cstheme="majorBidi"/>
          <w:sz w:val="24"/>
          <w:szCs w:val="24"/>
        </w:rPr>
        <w:t>are separated</w:t>
      </w:r>
      <w:r w:rsidRPr="00062B0E">
        <w:rPr>
          <w:rFonts w:asciiTheme="majorBidi" w:hAnsiTheme="majorBidi" w:cstheme="majorBidi"/>
          <w:sz w:val="24"/>
          <w:szCs w:val="24"/>
        </w:rPr>
        <w:t xml:space="preserve"> from the intent of the individual performing them</w:t>
      </w:r>
      <w:r w:rsidR="00D44F1F" w:rsidRPr="00062B0E">
        <w:rPr>
          <w:rFonts w:asciiTheme="majorBidi" w:hAnsiTheme="majorBidi" w:cstheme="majorBidi"/>
          <w:sz w:val="24"/>
          <w:szCs w:val="24"/>
        </w:rPr>
        <w:t>)</w:t>
      </w:r>
      <w:r w:rsidRPr="00062B0E">
        <w:rPr>
          <w:rFonts w:asciiTheme="majorBidi" w:hAnsiTheme="majorBidi" w:cstheme="majorBidi"/>
          <w:sz w:val="24"/>
          <w:szCs w:val="24"/>
        </w:rPr>
        <w:t>.</w:t>
      </w:r>
    </w:p>
    <w:p w14:paraId="2BB8DE69" w14:textId="7CB6ED07" w:rsidR="003961F0" w:rsidRPr="00062B0E" w:rsidRDefault="00DC441D" w:rsidP="00062B0E">
      <w:pPr>
        <w:spacing w:line="360" w:lineRule="auto"/>
        <w:jc w:val="both"/>
        <w:rPr>
          <w:rFonts w:asciiTheme="majorBidi" w:hAnsiTheme="majorBidi" w:cstheme="majorBidi"/>
          <w:sz w:val="24"/>
          <w:szCs w:val="24"/>
        </w:rPr>
      </w:pPr>
      <w:r w:rsidRPr="00062B0E">
        <w:rPr>
          <w:rFonts w:asciiTheme="majorBidi" w:hAnsiTheme="majorBidi" w:cstheme="majorBidi"/>
          <w:sz w:val="24"/>
          <w:szCs w:val="24"/>
        </w:rPr>
        <w:t xml:space="preserve">Professor Peters’ presentation examined </w:t>
      </w:r>
      <w:r w:rsidR="003961F0" w:rsidRPr="00062B0E">
        <w:rPr>
          <w:rFonts w:asciiTheme="majorBidi" w:hAnsiTheme="majorBidi" w:cstheme="majorBidi"/>
          <w:sz w:val="24"/>
          <w:szCs w:val="24"/>
        </w:rPr>
        <w:t>the history of the modern corporate officer</w:t>
      </w:r>
      <w:r w:rsidRPr="00062B0E">
        <w:rPr>
          <w:rFonts w:asciiTheme="majorBidi" w:hAnsiTheme="majorBidi" w:cstheme="majorBidi"/>
          <w:sz w:val="24"/>
          <w:szCs w:val="24"/>
        </w:rPr>
        <w:t>, noting that, a</w:t>
      </w:r>
      <w:r w:rsidR="003961F0" w:rsidRPr="00062B0E">
        <w:rPr>
          <w:rFonts w:asciiTheme="majorBidi" w:hAnsiTheme="majorBidi" w:cstheme="majorBidi"/>
          <w:sz w:val="24"/>
          <w:szCs w:val="24"/>
        </w:rPr>
        <w:t xml:space="preserve">longside </w:t>
      </w:r>
      <w:r w:rsidRPr="00062B0E">
        <w:rPr>
          <w:rFonts w:asciiTheme="majorBidi" w:hAnsiTheme="majorBidi" w:cstheme="majorBidi"/>
          <w:sz w:val="24"/>
          <w:szCs w:val="24"/>
        </w:rPr>
        <w:t xml:space="preserve">ongoing </w:t>
      </w:r>
      <w:r w:rsidR="003961F0" w:rsidRPr="00062B0E">
        <w:rPr>
          <w:rFonts w:asciiTheme="majorBidi" w:hAnsiTheme="majorBidi" w:cstheme="majorBidi"/>
          <w:sz w:val="24"/>
          <w:szCs w:val="24"/>
        </w:rPr>
        <w:t xml:space="preserve">debates over whether corporations are primarily public or private entities, there is a </w:t>
      </w:r>
      <w:r w:rsidRPr="00062B0E">
        <w:rPr>
          <w:rFonts w:asciiTheme="majorBidi" w:hAnsiTheme="majorBidi" w:cstheme="majorBidi"/>
          <w:sz w:val="24"/>
          <w:szCs w:val="24"/>
        </w:rPr>
        <w:t xml:space="preserve">parallel </w:t>
      </w:r>
      <w:r w:rsidR="003961F0" w:rsidRPr="00062B0E">
        <w:rPr>
          <w:rFonts w:asciiTheme="majorBidi" w:hAnsiTheme="majorBidi" w:cstheme="majorBidi"/>
          <w:sz w:val="24"/>
          <w:szCs w:val="24"/>
        </w:rPr>
        <w:t>question</w:t>
      </w:r>
      <w:r w:rsidRPr="00062B0E">
        <w:rPr>
          <w:rFonts w:asciiTheme="majorBidi" w:hAnsiTheme="majorBidi" w:cstheme="majorBidi"/>
          <w:sz w:val="24"/>
          <w:szCs w:val="24"/>
        </w:rPr>
        <w:t xml:space="preserve"> </w:t>
      </w:r>
      <w:r w:rsidR="003961F0" w:rsidRPr="00062B0E">
        <w:rPr>
          <w:rFonts w:asciiTheme="majorBidi" w:hAnsiTheme="majorBidi" w:cstheme="majorBidi"/>
          <w:sz w:val="24"/>
          <w:szCs w:val="24"/>
        </w:rPr>
        <w:t xml:space="preserve">about whether the role of director is </w:t>
      </w:r>
      <w:r w:rsidR="004805F3" w:rsidRPr="00062B0E">
        <w:rPr>
          <w:rFonts w:asciiTheme="majorBidi" w:hAnsiTheme="majorBidi" w:cstheme="majorBidi"/>
          <w:sz w:val="24"/>
          <w:szCs w:val="24"/>
        </w:rPr>
        <w:t xml:space="preserve">one of </w:t>
      </w:r>
      <w:r w:rsidR="003961F0" w:rsidRPr="00062B0E">
        <w:rPr>
          <w:rFonts w:asciiTheme="majorBidi" w:hAnsiTheme="majorBidi" w:cstheme="majorBidi"/>
          <w:sz w:val="24"/>
          <w:szCs w:val="24"/>
        </w:rPr>
        <w:t>a public office</w:t>
      </w:r>
      <w:r w:rsidR="004805F3" w:rsidRPr="00062B0E">
        <w:rPr>
          <w:rFonts w:asciiTheme="majorBidi" w:hAnsiTheme="majorBidi" w:cstheme="majorBidi"/>
          <w:sz w:val="24"/>
          <w:szCs w:val="24"/>
        </w:rPr>
        <w:t>r</w:t>
      </w:r>
      <w:r w:rsidR="003961F0" w:rsidRPr="00062B0E">
        <w:rPr>
          <w:rFonts w:asciiTheme="majorBidi" w:hAnsiTheme="majorBidi" w:cstheme="majorBidi"/>
          <w:sz w:val="24"/>
          <w:szCs w:val="24"/>
        </w:rPr>
        <w:t xml:space="preserve"> or private agent. </w:t>
      </w:r>
      <w:r w:rsidR="004805F3" w:rsidRPr="00062B0E">
        <w:rPr>
          <w:rFonts w:asciiTheme="majorBidi" w:hAnsiTheme="majorBidi" w:cstheme="majorBidi"/>
          <w:sz w:val="24"/>
          <w:szCs w:val="24"/>
        </w:rPr>
        <w:t xml:space="preserve">He drew on Professor Watson’s discussion of early </w:t>
      </w:r>
      <w:r w:rsidR="003961F0" w:rsidRPr="00062B0E">
        <w:rPr>
          <w:rFonts w:asciiTheme="majorBidi" w:hAnsiTheme="majorBidi" w:cstheme="majorBidi"/>
          <w:sz w:val="24"/>
          <w:szCs w:val="24"/>
        </w:rPr>
        <w:t xml:space="preserve">oaths of officeholders </w:t>
      </w:r>
      <w:r w:rsidR="004805F3" w:rsidRPr="00062B0E">
        <w:rPr>
          <w:rFonts w:asciiTheme="majorBidi" w:hAnsiTheme="majorBidi" w:cstheme="majorBidi"/>
          <w:sz w:val="24"/>
          <w:szCs w:val="24"/>
        </w:rPr>
        <w:t xml:space="preserve">to consider </w:t>
      </w:r>
      <w:r w:rsidR="003961F0" w:rsidRPr="00062B0E">
        <w:rPr>
          <w:rFonts w:asciiTheme="majorBidi" w:hAnsiTheme="majorBidi" w:cstheme="majorBidi"/>
          <w:sz w:val="24"/>
          <w:szCs w:val="24"/>
        </w:rPr>
        <w:t>what is at stake in considering a director</w:t>
      </w:r>
      <w:r w:rsidRPr="00062B0E">
        <w:rPr>
          <w:rFonts w:asciiTheme="majorBidi" w:hAnsiTheme="majorBidi" w:cstheme="majorBidi"/>
          <w:sz w:val="24"/>
          <w:szCs w:val="24"/>
        </w:rPr>
        <w:t xml:space="preserve"> </w:t>
      </w:r>
      <w:r w:rsidR="003961F0" w:rsidRPr="00062B0E">
        <w:rPr>
          <w:rFonts w:asciiTheme="majorBidi" w:hAnsiTheme="majorBidi" w:cstheme="majorBidi"/>
          <w:sz w:val="24"/>
          <w:szCs w:val="24"/>
        </w:rPr>
        <w:t>as fulfilling a public office and the way in which this affects the accounts of the source of</w:t>
      </w:r>
      <w:r w:rsidRPr="00062B0E">
        <w:rPr>
          <w:rFonts w:asciiTheme="majorBidi" w:hAnsiTheme="majorBidi" w:cstheme="majorBidi"/>
          <w:sz w:val="24"/>
          <w:szCs w:val="24"/>
        </w:rPr>
        <w:t xml:space="preserve"> </w:t>
      </w:r>
      <w:r w:rsidR="003961F0" w:rsidRPr="00062B0E">
        <w:rPr>
          <w:rFonts w:asciiTheme="majorBidi" w:hAnsiTheme="majorBidi" w:cstheme="majorBidi"/>
          <w:sz w:val="24"/>
          <w:szCs w:val="24"/>
        </w:rPr>
        <w:t>corporate authority they exercise.</w:t>
      </w:r>
    </w:p>
    <w:p w14:paraId="4088D0C5" w14:textId="5DA42068" w:rsidR="000551F5" w:rsidRPr="00062B0E" w:rsidRDefault="000551F5" w:rsidP="00062B0E">
      <w:pPr>
        <w:spacing w:line="360" w:lineRule="auto"/>
        <w:jc w:val="both"/>
        <w:rPr>
          <w:rFonts w:asciiTheme="majorBidi" w:hAnsiTheme="majorBidi" w:cstheme="majorBidi"/>
          <w:sz w:val="24"/>
          <w:szCs w:val="24"/>
        </w:rPr>
      </w:pPr>
    </w:p>
    <w:p w14:paraId="31AAB877" w14:textId="76C1EE47" w:rsidR="000551F5" w:rsidRPr="00062B0E" w:rsidRDefault="00267F8A" w:rsidP="00062B0E">
      <w:pPr>
        <w:spacing w:line="360" w:lineRule="auto"/>
        <w:jc w:val="both"/>
        <w:rPr>
          <w:rFonts w:asciiTheme="majorBidi" w:hAnsiTheme="majorBidi" w:cstheme="majorBidi"/>
          <w:sz w:val="24"/>
          <w:szCs w:val="24"/>
        </w:rPr>
      </w:pPr>
      <w:r w:rsidRPr="00062B0E">
        <w:rPr>
          <w:rFonts w:asciiTheme="majorBidi" w:hAnsiTheme="majorBidi" w:cstheme="majorBidi"/>
          <w:b/>
          <w:bCs/>
          <w:sz w:val="24"/>
          <w:szCs w:val="24"/>
          <w:lang w:val="en-AU"/>
        </w:rPr>
        <w:t xml:space="preserve">Session 2: </w:t>
      </w:r>
      <w:r w:rsidRPr="00062B0E">
        <w:rPr>
          <w:rFonts w:asciiTheme="majorBidi" w:hAnsiTheme="majorBidi" w:cstheme="majorBidi"/>
          <w:b/>
          <w:bCs/>
          <w:sz w:val="24"/>
          <w:szCs w:val="24"/>
        </w:rPr>
        <w:t>Corporate Theory, Shareholders and Stakeholders</w:t>
      </w:r>
    </w:p>
    <w:p w14:paraId="53FB7E4E" w14:textId="77777777" w:rsidR="00267F8A" w:rsidRPr="00062B0E" w:rsidRDefault="00267F8A" w:rsidP="00062B0E">
      <w:pPr>
        <w:spacing w:line="360" w:lineRule="auto"/>
        <w:jc w:val="both"/>
        <w:rPr>
          <w:rFonts w:asciiTheme="majorBidi" w:hAnsiTheme="majorBidi" w:cstheme="majorBidi"/>
          <w:sz w:val="24"/>
          <w:szCs w:val="24"/>
        </w:rPr>
      </w:pPr>
      <w:r w:rsidRPr="00062B0E">
        <w:rPr>
          <w:rFonts w:asciiTheme="majorBidi" w:hAnsiTheme="majorBidi" w:cstheme="majorBidi"/>
          <w:b/>
          <w:bCs/>
          <w:sz w:val="24"/>
          <w:szCs w:val="24"/>
        </w:rPr>
        <w:t>Moderator</w:t>
      </w:r>
      <w:r w:rsidRPr="00062B0E">
        <w:rPr>
          <w:rFonts w:asciiTheme="majorBidi" w:hAnsiTheme="majorBidi" w:cstheme="majorBidi"/>
          <w:sz w:val="24"/>
          <w:szCs w:val="24"/>
        </w:rPr>
        <w:t xml:space="preserve">: Steve </w:t>
      </w:r>
      <w:proofErr w:type="spellStart"/>
      <w:r w:rsidRPr="00062B0E">
        <w:rPr>
          <w:rFonts w:asciiTheme="majorBidi" w:hAnsiTheme="majorBidi" w:cstheme="majorBidi"/>
          <w:sz w:val="24"/>
          <w:szCs w:val="24"/>
        </w:rPr>
        <w:t>Kourabas</w:t>
      </w:r>
      <w:proofErr w:type="spellEnd"/>
      <w:r w:rsidRPr="00062B0E">
        <w:rPr>
          <w:rFonts w:asciiTheme="majorBidi" w:hAnsiTheme="majorBidi" w:cstheme="majorBidi"/>
          <w:sz w:val="24"/>
          <w:szCs w:val="24"/>
        </w:rPr>
        <w:t xml:space="preserve"> (Monash Law, Centre for Commercial Law and Regulatory</w:t>
      </w:r>
    </w:p>
    <w:p w14:paraId="72295E8F" w14:textId="77777777" w:rsidR="00267F8A" w:rsidRPr="00062B0E" w:rsidRDefault="00267F8A" w:rsidP="00062B0E">
      <w:pPr>
        <w:spacing w:line="360" w:lineRule="auto"/>
        <w:jc w:val="both"/>
        <w:rPr>
          <w:rFonts w:asciiTheme="majorBidi" w:hAnsiTheme="majorBidi" w:cstheme="majorBidi"/>
          <w:sz w:val="24"/>
          <w:szCs w:val="24"/>
        </w:rPr>
      </w:pPr>
      <w:r w:rsidRPr="00062B0E">
        <w:rPr>
          <w:rFonts w:asciiTheme="majorBidi" w:hAnsiTheme="majorBidi" w:cstheme="majorBidi"/>
          <w:sz w:val="24"/>
          <w:szCs w:val="24"/>
        </w:rPr>
        <w:t>Studies)</w:t>
      </w:r>
    </w:p>
    <w:p w14:paraId="381D8731" w14:textId="77777777" w:rsidR="00267F8A" w:rsidRPr="00062B0E" w:rsidRDefault="00267F8A" w:rsidP="00062B0E">
      <w:pPr>
        <w:spacing w:line="360" w:lineRule="auto"/>
        <w:jc w:val="both"/>
        <w:rPr>
          <w:rFonts w:asciiTheme="majorBidi" w:hAnsiTheme="majorBidi" w:cstheme="majorBidi"/>
          <w:b/>
          <w:bCs/>
          <w:sz w:val="24"/>
          <w:szCs w:val="24"/>
        </w:rPr>
      </w:pPr>
      <w:r w:rsidRPr="00062B0E">
        <w:rPr>
          <w:rFonts w:asciiTheme="majorBidi" w:hAnsiTheme="majorBidi" w:cstheme="majorBidi"/>
          <w:b/>
          <w:bCs/>
          <w:sz w:val="24"/>
          <w:szCs w:val="24"/>
        </w:rPr>
        <w:t>Speakers</w:t>
      </w:r>
    </w:p>
    <w:p w14:paraId="5FD82436" w14:textId="77777777" w:rsidR="00267F8A" w:rsidRPr="00062B0E" w:rsidRDefault="00267F8A" w:rsidP="00062B0E">
      <w:pPr>
        <w:spacing w:line="360" w:lineRule="auto"/>
        <w:jc w:val="both"/>
        <w:rPr>
          <w:rFonts w:asciiTheme="majorBidi" w:hAnsiTheme="majorBidi" w:cstheme="majorBidi"/>
          <w:sz w:val="24"/>
          <w:szCs w:val="24"/>
        </w:rPr>
      </w:pPr>
      <w:r w:rsidRPr="00062B0E">
        <w:rPr>
          <w:rFonts w:asciiTheme="majorBidi" w:hAnsiTheme="majorBidi" w:cstheme="majorBidi"/>
          <w:b/>
          <w:bCs/>
          <w:sz w:val="24"/>
          <w:szCs w:val="24"/>
        </w:rPr>
        <w:lastRenderedPageBreak/>
        <w:t>Sarah Haan</w:t>
      </w:r>
      <w:r w:rsidRPr="00062B0E">
        <w:rPr>
          <w:rFonts w:asciiTheme="majorBidi" w:hAnsiTheme="majorBidi" w:cstheme="majorBidi"/>
          <w:sz w:val="24"/>
          <w:szCs w:val="24"/>
        </w:rPr>
        <w:t xml:space="preserve"> (University of Virginia Law School; Washington and Lee University School of</w:t>
      </w:r>
    </w:p>
    <w:p w14:paraId="40126549" w14:textId="3A8473C3" w:rsidR="00267F8A" w:rsidRPr="00062B0E" w:rsidRDefault="00267F8A" w:rsidP="00062B0E">
      <w:pPr>
        <w:spacing w:line="360" w:lineRule="auto"/>
        <w:jc w:val="both"/>
        <w:rPr>
          <w:rFonts w:asciiTheme="majorBidi" w:hAnsiTheme="majorBidi" w:cstheme="majorBidi"/>
          <w:sz w:val="24"/>
          <w:szCs w:val="24"/>
        </w:rPr>
      </w:pPr>
      <w:r w:rsidRPr="00062B0E">
        <w:rPr>
          <w:rFonts w:asciiTheme="majorBidi" w:hAnsiTheme="majorBidi" w:cstheme="majorBidi"/>
          <w:sz w:val="24"/>
          <w:szCs w:val="24"/>
        </w:rPr>
        <w:t>Law)</w:t>
      </w:r>
    </w:p>
    <w:p w14:paraId="1CC468B5" w14:textId="77777777" w:rsidR="00267F8A" w:rsidRPr="00062B0E" w:rsidRDefault="00267F8A" w:rsidP="00062B0E">
      <w:pPr>
        <w:spacing w:line="360" w:lineRule="auto"/>
        <w:jc w:val="both"/>
        <w:rPr>
          <w:rFonts w:asciiTheme="majorBidi" w:hAnsiTheme="majorBidi" w:cstheme="majorBidi"/>
          <w:sz w:val="24"/>
          <w:szCs w:val="24"/>
        </w:rPr>
      </w:pPr>
      <w:r w:rsidRPr="00062B0E">
        <w:rPr>
          <w:rFonts w:asciiTheme="majorBidi" w:hAnsiTheme="majorBidi" w:cstheme="majorBidi"/>
          <w:b/>
          <w:bCs/>
          <w:sz w:val="24"/>
          <w:szCs w:val="24"/>
        </w:rPr>
        <w:t>Jennifer Hill</w:t>
      </w:r>
      <w:r w:rsidRPr="00062B0E">
        <w:rPr>
          <w:rFonts w:asciiTheme="majorBidi" w:hAnsiTheme="majorBidi" w:cstheme="majorBidi"/>
          <w:sz w:val="24"/>
          <w:szCs w:val="24"/>
        </w:rPr>
        <w:t xml:space="preserve"> (Monash Law, Centre for Commercial </w:t>
      </w:r>
      <w:proofErr w:type="gramStart"/>
      <w:r w:rsidRPr="00062B0E">
        <w:rPr>
          <w:rFonts w:asciiTheme="majorBidi" w:hAnsiTheme="majorBidi" w:cstheme="majorBidi"/>
          <w:sz w:val="24"/>
          <w:szCs w:val="24"/>
        </w:rPr>
        <w:t>Law</w:t>
      </w:r>
      <w:proofErr w:type="gramEnd"/>
      <w:r w:rsidRPr="00062B0E">
        <w:rPr>
          <w:rFonts w:asciiTheme="majorBidi" w:hAnsiTheme="majorBidi" w:cstheme="majorBidi"/>
          <w:sz w:val="24"/>
          <w:szCs w:val="24"/>
        </w:rPr>
        <w:t xml:space="preserve"> and Regulatory Studies; Research</w:t>
      </w:r>
    </w:p>
    <w:p w14:paraId="11C5CDA2" w14:textId="3F00E565" w:rsidR="00267F8A" w:rsidRPr="00062B0E" w:rsidRDefault="00267F8A" w:rsidP="00062B0E">
      <w:pPr>
        <w:spacing w:line="360" w:lineRule="auto"/>
        <w:jc w:val="both"/>
        <w:rPr>
          <w:rFonts w:asciiTheme="majorBidi" w:hAnsiTheme="majorBidi" w:cstheme="majorBidi"/>
          <w:sz w:val="24"/>
          <w:szCs w:val="24"/>
        </w:rPr>
      </w:pPr>
      <w:r w:rsidRPr="00062B0E">
        <w:rPr>
          <w:rFonts w:asciiTheme="majorBidi" w:hAnsiTheme="majorBidi" w:cstheme="majorBidi"/>
          <w:sz w:val="24"/>
          <w:szCs w:val="24"/>
        </w:rPr>
        <w:t>Member, ECGI)</w:t>
      </w:r>
    </w:p>
    <w:p w14:paraId="65F1BC2D" w14:textId="36089C86" w:rsidR="00267F8A" w:rsidRPr="00062B0E" w:rsidRDefault="00267F8A" w:rsidP="00062B0E">
      <w:pPr>
        <w:spacing w:line="360" w:lineRule="auto"/>
        <w:jc w:val="both"/>
        <w:rPr>
          <w:rFonts w:asciiTheme="majorBidi" w:hAnsiTheme="majorBidi" w:cstheme="majorBidi"/>
          <w:sz w:val="24"/>
          <w:szCs w:val="24"/>
        </w:rPr>
      </w:pPr>
      <w:r w:rsidRPr="00062B0E">
        <w:rPr>
          <w:rFonts w:asciiTheme="majorBidi" w:hAnsiTheme="majorBidi" w:cstheme="majorBidi"/>
          <w:b/>
          <w:bCs/>
          <w:sz w:val="24"/>
          <w:szCs w:val="24"/>
        </w:rPr>
        <w:t>Tim Bowley</w:t>
      </w:r>
      <w:r w:rsidRPr="00062B0E">
        <w:rPr>
          <w:rFonts w:asciiTheme="majorBidi" w:hAnsiTheme="majorBidi" w:cstheme="majorBidi"/>
          <w:sz w:val="24"/>
          <w:szCs w:val="24"/>
        </w:rPr>
        <w:t xml:space="preserve"> (Monash Law, Centre for Commercial </w:t>
      </w:r>
      <w:proofErr w:type="gramStart"/>
      <w:r w:rsidRPr="00062B0E">
        <w:rPr>
          <w:rFonts w:asciiTheme="majorBidi" w:hAnsiTheme="majorBidi" w:cstheme="majorBidi"/>
          <w:sz w:val="24"/>
          <w:szCs w:val="24"/>
        </w:rPr>
        <w:t>Law</w:t>
      </w:r>
      <w:proofErr w:type="gramEnd"/>
      <w:r w:rsidRPr="00062B0E">
        <w:rPr>
          <w:rFonts w:asciiTheme="majorBidi" w:hAnsiTheme="majorBidi" w:cstheme="majorBidi"/>
          <w:sz w:val="24"/>
          <w:szCs w:val="24"/>
        </w:rPr>
        <w:t xml:space="preserve"> and Regulatory Studies)</w:t>
      </w:r>
    </w:p>
    <w:p w14:paraId="6CA0C5FC" w14:textId="6845358F" w:rsidR="00267F8A" w:rsidRPr="00062B0E" w:rsidRDefault="00267F8A" w:rsidP="00062B0E">
      <w:pPr>
        <w:spacing w:line="360" w:lineRule="auto"/>
        <w:jc w:val="both"/>
        <w:rPr>
          <w:rFonts w:asciiTheme="majorBidi" w:hAnsiTheme="majorBidi" w:cstheme="majorBidi"/>
          <w:sz w:val="24"/>
          <w:szCs w:val="24"/>
        </w:rPr>
      </w:pPr>
      <w:r w:rsidRPr="00062B0E">
        <w:rPr>
          <w:rFonts w:asciiTheme="majorBidi" w:hAnsiTheme="majorBidi" w:cstheme="majorBidi"/>
          <w:b/>
          <w:bCs/>
          <w:sz w:val="24"/>
          <w:szCs w:val="24"/>
        </w:rPr>
        <w:t>Victoria Barnes</w:t>
      </w:r>
      <w:r w:rsidRPr="00062B0E">
        <w:rPr>
          <w:rFonts w:asciiTheme="majorBidi" w:hAnsiTheme="majorBidi" w:cstheme="majorBidi"/>
          <w:sz w:val="24"/>
          <w:szCs w:val="24"/>
        </w:rPr>
        <w:t xml:space="preserve"> (Queen’s University Belfast, School of</w:t>
      </w:r>
      <w:r w:rsidR="006C73A0" w:rsidRPr="00062B0E">
        <w:rPr>
          <w:rFonts w:asciiTheme="majorBidi" w:hAnsiTheme="majorBidi" w:cstheme="majorBidi"/>
          <w:sz w:val="24"/>
          <w:szCs w:val="24"/>
        </w:rPr>
        <w:t xml:space="preserve"> </w:t>
      </w:r>
      <w:r w:rsidRPr="00062B0E">
        <w:rPr>
          <w:rFonts w:asciiTheme="majorBidi" w:hAnsiTheme="majorBidi" w:cstheme="majorBidi"/>
          <w:sz w:val="24"/>
          <w:szCs w:val="24"/>
        </w:rPr>
        <w:t>Law)</w:t>
      </w:r>
    </w:p>
    <w:p w14:paraId="5114A728" w14:textId="77777777" w:rsidR="00267F8A" w:rsidRPr="00062B0E" w:rsidRDefault="00267F8A" w:rsidP="00062B0E">
      <w:pPr>
        <w:spacing w:line="360" w:lineRule="auto"/>
        <w:jc w:val="both"/>
        <w:rPr>
          <w:rFonts w:asciiTheme="majorBidi" w:hAnsiTheme="majorBidi" w:cstheme="majorBidi"/>
          <w:sz w:val="24"/>
          <w:szCs w:val="24"/>
        </w:rPr>
      </w:pPr>
    </w:p>
    <w:p w14:paraId="55365962" w14:textId="0B7255E7" w:rsidR="00267F8A" w:rsidRPr="00062B0E" w:rsidRDefault="00267F8A" w:rsidP="00062B0E">
      <w:pPr>
        <w:spacing w:line="360" w:lineRule="auto"/>
        <w:jc w:val="both"/>
        <w:rPr>
          <w:rFonts w:asciiTheme="majorBidi" w:hAnsiTheme="majorBidi" w:cstheme="majorBidi"/>
          <w:b/>
          <w:bCs/>
          <w:sz w:val="24"/>
          <w:szCs w:val="24"/>
        </w:rPr>
      </w:pPr>
      <w:r w:rsidRPr="00062B0E">
        <w:rPr>
          <w:rFonts w:asciiTheme="majorBidi" w:hAnsiTheme="majorBidi" w:cstheme="majorBidi"/>
          <w:b/>
          <w:bCs/>
          <w:sz w:val="24"/>
          <w:szCs w:val="24"/>
        </w:rPr>
        <w:t>Session 2: Summary</w:t>
      </w:r>
    </w:p>
    <w:p w14:paraId="7B0CFAEC" w14:textId="137ED969" w:rsidR="00CE15D7" w:rsidRPr="00062B0E" w:rsidRDefault="00CE15D7" w:rsidP="00062B0E">
      <w:pPr>
        <w:spacing w:line="360" w:lineRule="auto"/>
        <w:jc w:val="both"/>
        <w:rPr>
          <w:rFonts w:asciiTheme="majorBidi" w:hAnsiTheme="majorBidi" w:cstheme="majorBidi"/>
          <w:sz w:val="24"/>
          <w:szCs w:val="24"/>
        </w:rPr>
      </w:pPr>
      <w:r w:rsidRPr="00062B0E">
        <w:rPr>
          <w:rFonts w:asciiTheme="majorBidi" w:hAnsiTheme="majorBidi" w:cstheme="majorBidi"/>
          <w:sz w:val="24"/>
          <w:szCs w:val="24"/>
        </w:rPr>
        <w:t xml:space="preserve">Session 2 </w:t>
      </w:r>
      <w:r w:rsidR="00650BD3" w:rsidRPr="00062B0E">
        <w:rPr>
          <w:rFonts w:asciiTheme="majorBidi" w:hAnsiTheme="majorBidi" w:cstheme="majorBidi"/>
          <w:sz w:val="24"/>
          <w:szCs w:val="24"/>
        </w:rPr>
        <w:t xml:space="preserve">began </w:t>
      </w:r>
      <w:r w:rsidRPr="00062B0E">
        <w:rPr>
          <w:rFonts w:asciiTheme="majorBidi" w:hAnsiTheme="majorBidi" w:cstheme="majorBidi"/>
          <w:sz w:val="24"/>
          <w:szCs w:val="24"/>
        </w:rPr>
        <w:t xml:space="preserve">with a presentation by </w:t>
      </w:r>
      <w:r w:rsidRPr="00062B0E">
        <w:rPr>
          <w:rFonts w:asciiTheme="majorBidi" w:hAnsiTheme="majorBidi" w:cstheme="majorBidi"/>
          <w:b/>
          <w:bCs/>
          <w:sz w:val="24"/>
          <w:szCs w:val="24"/>
        </w:rPr>
        <w:t>Professor Sarah Haan</w:t>
      </w:r>
      <w:r w:rsidRPr="00062B0E">
        <w:rPr>
          <w:rFonts w:asciiTheme="majorBidi" w:hAnsiTheme="majorBidi" w:cstheme="majorBidi"/>
          <w:sz w:val="24"/>
          <w:szCs w:val="24"/>
        </w:rPr>
        <w:t xml:space="preserve">, based on her forthcoming book chapter entitled, </w:t>
      </w:r>
      <w:r w:rsidRPr="00062B0E">
        <w:rPr>
          <w:rFonts w:asciiTheme="majorBidi" w:hAnsiTheme="majorBidi" w:cstheme="majorBidi"/>
          <w:b/>
          <w:bCs/>
          <w:sz w:val="24"/>
          <w:szCs w:val="24"/>
        </w:rPr>
        <w:t xml:space="preserve">The Pathology of Passivity: Shareholder Passivity as a False Narrative in Corporate Law. </w:t>
      </w:r>
      <w:r w:rsidRPr="00062B0E">
        <w:rPr>
          <w:rFonts w:asciiTheme="majorBidi" w:hAnsiTheme="majorBidi" w:cstheme="majorBidi"/>
          <w:sz w:val="24"/>
          <w:szCs w:val="24"/>
        </w:rPr>
        <w:t>She argued that, although shareholder passivity (‘the Passivity Thesis’) has been a potent concept in business law history since the early 20</w:t>
      </w:r>
      <w:r w:rsidRPr="00062B0E">
        <w:rPr>
          <w:rFonts w:asciiTheme="majorBidi" w:hAnsiTheme="majorBidi" w:cstheme="majorBidi"/>
          <w:sz w:val="24"/>
          <w:szCs w:val="24"/>
          <w:vertAlign w:val="superscript"/>
        </w:rPr>
        <w:t>th</w:t>
      </w:r>
      <w:r w:rsidRPr="00062B0E">
        <w:rPr>
          <w:rFonts w:asciiTheme="majorBidi" w:hAnsiTheme="majorBidi" w:cstheme="majorBidi"/>
          <w:sz w:val="24"/>
          <w:szCs w:val="24"/>
        </w:rPr>
        <w:t xml:space="preserve"> century, it is ultimately a false narrative in corporate law theory, which is, not only descriptively wrong, but also normatively harmful. </w:t>
      </w:r>
    </w:p>
    <w:p w14:paraId="3A0D1895" w14:textId="445A9A8E" w:rsidR="00650BD3" w:rsidRPr="00062B0E" w:rsidRDefault="00CE15D7" w:rsidP="00062B0E">
      <w:pPr>
        <w:spacing w:line="360" w:lineRule="auto"/>
        <w:jc w:val="both"/>
        <w:rPr>
          <w:rFonts w:asciiTheme="majorBidi" w:hAnsiTheme="majorBidi" w:cstheme="majorBidi"/>
          <w:sz w:val="24"/>
          <w:szCs w:val="24"/>
        </w:rPr>
      </w:pPr>
      <w:r w:rsidRPr="00062B0E">
        <w:rPr>
          <w:rFonts w:asciiTheme="majorBidi" w:hAnsiTheme="majorBidi" w:cstheme="majorBidi"/>
          <w:sz w:val="24"/>
          <w:szCs w:val="24"/>
        </w:rPr>
        <w:t xml:space="preserve">Originally presented as a character flaw of the 1930s shareholder, the later Law and Economics movement transformed shareholder passivity into a virtuous form of rational behaviour, </w:t>
      </w:r>
      <w:r w:rsidR="00E66196" w:rsidRPr="00062B0E">
        <w:rPr>
          <w:rFonts w:asciiTheme="majorBidi" w:hAnsiTheme="majorBidi" w:cstheme="majorBidi"/>
          <w:sz w:val="24"/>
          <w:szCs w:val="24"/>
        </w:rPr>
        <w:t xml:space="preserve">whereby </w:t>
      </w:r>
      <w:r w:rsidRPr="00062B0E">
        <w:rPr>
          <w:rFonts w:asciiTheme="majorBidi" w:hAnsiTheme="majorBidi" w:cstheme="majorBidi"/>
          <w:sz w:val="24"/>
          <w:szCs w:val="24"/>
        </w:rPr>
        <w:t>the shareholder voluntarily chooses to give up power. Professor Haan showed how the Passivity Thesis has obscured the role of law in shaping the participation by shareholders in</w:t>
      </w:r>
      <w:r w:rsidR="00895F80" w:rsidRPr="00062B0E">
        <w:rPr>
          <w:rFonts w:asciiTheme="majorBidi" w:hAnsiTheme="majorBidi" w:cstheme="majorBidi"/>
          <w:sz w:val="24"/>
          <w:szCs w:val="24"/>
        </w:rPr>
        <w:t xml:space="preserve"> g</w:t>
      </w:r>
      <w:r w:rsidRPr="00062B0E">
        <w:rPr>
          <w:rFonts w:asciiTheme="majorBidi" w:hAnsiTheme="majorBidi" w:cstheme="majorBidi"/>
          <w:sz w:val="24"/>
          <w:szCs w:val="24"/>
        </w:rPr>
        <w:t>overnance</w:t>
      </w:r>
      <w:r w:rsidR="00895F80" w:rsidRPr="00062B0E">
        <w:rPr>
          <w:rFonts w:asciiTheme="majorBidi" w:hAnsiTheme="majorBidi" w:cstheme="majorBidi"/>
          <w:sz w:val="24"/>
          <w:szCs w:val="24"/>
        </w:rPr>
        <w:t>, arguing</w:t>
      </w:r>
      <w:r w:rsidRPr="00062B0E">
        <w:rPr>
          <w:rFonts w:asciiTheme="majorBidi" w:hAnsiTheme="majorBidi" w:cstheme="majorBidi"/>
          <w:sz w:val="24"/>
          <w:szCs w:val="24"/>
        </w:rPr>
        <w:t xml:space="preserve"> that </w:t>
      </w:r>
      <w:r w:rsidR="00895F80" w:rsidRPr="00062B0E">
        <w:rPr>
          <w:rFonts w:asciiTheme="majorBidi" w:hAnsiTheme="majorBidi" w:cstheme="majorBidi"/>
          <w:sz w:val="24"/>
          <w:szCs w:val="24"/>
        </w:rPr>
        <w:t xml:space="preserve">business </w:t>
      </w:r>
      <w:r w:rsidRPr="00062B0E">
        <w:rPr>
          <w:rFonts w:asciiTheme="majorBidi" w:hAnsiTheme="majorBidi" w:cstheme="majorBidi"/>
          <w:sz w:val="24"/>
          <w:szCs w:val="24"/>
        </w:rPr>
        <w:t>organisation</w:t>
      </w:r>
      <w:r w:rsidR="00895F80" w:rsidRPr="00062B0E">
        <w:rPr>
          <w:rFonts w:asciiTheme="majorBidi" w:hAnsiTheme="majorBidi" w:cstheme="majorBidi"/>
          <w:sz w:val="24"/>
          <w:szCs w:val="24"/>
        </w:rPr>
        <w:t>s</w:t>
      </w:r>
      <w:r w:rsidRPr="00062B0E">
        <w:rPr>
          <w:rFonts w:asciiTheme="majorBidi" w:hAnsiTheme="majorBidi" w:cstheme="majorBidi"/>
          <w:sz w:val="24"/>
          <w:szCs w:val="24"/>
        </w:rPr>
        <w:t xml:space="preserve"> would have evolved differently if</w:t>
      </w:r>
      <w:r w:rsidR="00650BD3" w:rsidRPr="00062B0E">
        <w:rPr>
          <w:rFonts w:asciiTheme="majorBidi" w:hAnsiTheme="majorBidi" w:cstheme="majorBidi"/>
          <w:sz w:val="24"/>
          <w:szCs w:val="24"/>
        </w:rPr>
        <w:t xml:space="preserve"> </w:t>
      </w:r>
      <w:r w:rsidRPr="00062B0E">
        <w:rPr>
          <w:rFonts w:asciiTheme="majorBidi" w:hAnsiTheme="majorBidi" w:cstheme="majorBidi"/>
          <w:sz w:val="24"/>
          <w:szCs w:val="24"/>
        </w:rPr>
        <w:t>corporate law had created mechanisms to facilitate active shareholder</w:t>
      </w:r>
      <w:r w:rsidR="00650BD3" w:rsidRPr="00062B0E">
        <w:rPr>
          <w:rFonts w:asciiTheme="majorBidi" w:hAnsiTheme="majorBidi" w:cstheme="majorBidi"/>
          <w:sz w:val="24"/>
          <w:szCs w:val="24"/>
        </w:rPr>
        <w:t xml:space="preserve"> </w:t>
      </w:r>
      <w:r w:rsidRPr="00062B0E">
        <w:rPr>
          <w:rFonts w:asciiTheme="majorBidi" w:hAnsiTheme="majorBidi" w:cstheme="majorBidi"/>
          <w:sz w:val="24"/>
          <w:szCs w:val="24"/>
        </w:rPr>
        <w:t xml:space="preserve">participation in governance. Finally, she raised the provocative question of whether the Passivity Thesis is restricted to corporate law or whether it might also have </w:t>
      </w:r>
      <w:r w:rsidR="00650BD3" w:rsidRPr="00062B0E">
        <w:rPr>
          <w:rFonts w:asciiTheme="majorBidi" w:hAnsiTheme="majorBidi" w:cstheme="majorBidi"/>
          <w:sz w:val="24"/>
          <w:szCs w:val="24"/>
        </w:rPr>
        <w:t>had a</w:t>
      </w:r>
      <w:r w:rsidR="00D24BD7" w:rsidRPr="00062B0E">
        <w:rPr>
          <w:rFonts w:asciiTheme="majorBidi" w:hAnsiTheme="majorBidi" w:cstheme="majorBidi"/>
          <w:sz w:val="24"/>
          <w:szCs w:val="24"/>
        </w:rPr>
        <w:t xml:space="preserve"> broader</w:t>
      </w:r>
      <w:r w:rsidR="00650BD3" w:rsidRPr="00062B0E">
        <w:rPr>
          <w:rFonts w:asciiTheme="majorBidi" w:hAnsiTheme="majorBidi" w:cstheme="majorBidi"/>
          <w:sz w:val="24"/>
          <w:szCs w:val="24"/>
        </w:rPr>
        <w:t xml:space="preserve"> impact on political economy and democracy itself.</w:t>
      </w:r>
    </w:p>
    <w:p w14:paraId="11490860" w14:textId="3C1996B2" w:rsidR="0085174F" w:rsidRPr="00062B0E" w:rsidRDefault="0085174F" w:rsidP="00172882">
      <w:pPr>
        <w:spacing w:line="360" w:lineRule="auto"/>
        <w:jc w:val="both"/>
        <w:rPr>
          <w:rFonts w:asciiTheme="majorBidi" w:hAnsiTheme="majorBidi" w:cstheme="majorBidi"/>
          <w:color w:val="434343"/>
          <w:kern w:val="0"/>
          <w:sz w:val="24"/>
          <w:szCs w:val="24"/>
        </w:rPr>
      </w:pPr>
      <w:r w:rsidRPr="00062B0E">
        <w:rPr>
          <w:rFonts w:asciiTheme="majorBidi" w:hAnsiTheme="majorBidi" w:cstheme="majorBidi"/>
          <w:sz w:val="24"/>
          <w:szCs w:val="24"/>
        </w:rPr>
        <w:t xml:space="preserve">The theme of </w:t>
      </w:r>
      <w:r w:rsidR="0095112F" w:rsidRPr="00062B0E">
        <w:rPr>
          <w:rFonts w:asciiTheme="majorBidi" w:hAnsiTheme="majorBidi" w:cstheme="majorBidi"/>
          <w:sz w:val="24"/>
          <w:szCs w:val="24"/>
        </w:rPr>
        <w:t xml:space="preserve">myths </w:t>
      </w:r>
      <w:r w:rsidRPr="00062B0E">
        <w:rPr>
          <w:rFonts w:asciiTheme="majorBidi" w:hAnsiTheme="majorBidi" w:cstheme="majorBidi"/>
          <w:sz w:val="24"/>
          <w:szCs w:val="24"/>
        </w:rPr>
        <w:t xml:space="preserve">in business law history continued with </w:t>
      </w:r>
      <w:r w:rsidRPr="00062B0E">
        <w:rPr>
          <w:rFonts w:asciiTheme="majorBidi" w:hAnsiTheme="majorBidi" w:cstheme="majorBidi"/>
          <w:b/>
          <w:bCs/>
          <w:sz w:val="24"/>
          <w:szCs w:val="24"/>
        </w:rPr>
        <w:t>Professor Jennifer Hill’s</w:t>
      </w:r>
      <w:r w:rsidRPr="00062B0E">
        <w:rPr>
          <w:rFonts w:asciiTheme="majorBidi" w:hAnsiTheme="majorBidi" w:cstheme="majorBidi"/>
          <w:sz w:val="24"/>
          <w:szCs w:val="24"/>
        </w:rPr>
        <w:t xml:space="preserve"> presentation on the topic, </w:t>
      </w:r>
      <w:r w:rsidRPr="00062B0E">
        <w:rPr>
          <w:rFonts w:asciiTheme="majorBidi" w:hAnsiTheme="majorBidi" w:cstheme="majorBidi"/>
          <w:b/>
          <w:bCs/>
          <w:color w:val="434343"/>
          <w:kern w:val="0"/>
          <w:sz w:val="24"/>
          <w:szCs w:val="24"/>
        </w:rPr>
        <w:t xml:space="preserve">The History of the Agency Theory of the </w:t>
      </w:r>
      <w:proofErr w:type="gramStart"/>
      <w:r w:rsidRPr="00062B0E">
        <w:rPr>
          <w:rFonts w:asciiTheme="majorBidi" w:hAnsiTheme="majorBidi" w:cstheme="majorBidi"/>
          <w:b/>
          <w:bCs/>
          <w:color w:val="434343"/>
          <w:kern w:val="0"/>
          <w:sz w:val="24"/>
          <w:szCs w:val="24"/>
        </w:rPr>
        <w:t>Corporation</w:t>
      </w:r>
      <w:proofErr w:type="gramEnd"/>
      <w:r w:rsidRPr="00062B0E">
        <w:rPr>
          <w:rFonts w:asciiTheme="majorBidi" w:hAnsiTheme="majorBidi" w:cstheme="majorBidi"/>
          <w:b/>
          <w:bCs/>
          <w:color w:val="434343"/>
          <w:kern w:val="0"/>
          <w:sz w:val="24"/>
          <w:szCs w:val="24"/>
        </w:rPr>
        <w:t xml:space="preserve"> and its Hidden Fallacies. </w:t>
      </w:r>
      <w:r w:rsidR="0095112F" w:rsidRPr="00062B0E">
        <w:rPr>
          <w:rFonts w:asciiTheme="majorBidi" w:hAnsiTheme="majorBidi" w:cstheme="majorBidi"/>
          <w:color w:val="434343"/>
          <w:kern w:val="0"/>
          <w:sz w:val="24"/>
          <w:szCs w:val="24"/>
        </w:rPr>
        <w:t xml:space="preserve">Although </w:t>
      </w:r>
      <w:r w:rsidRPr="00062B0E">
        <w:rPr>
          <w:rFonts w:asciiTheme="majorBidi" w:hAnsiTheme="majorBidi" w:cstheme="majorBidi"/>
          <w:color w:val="434343"/>
          <w:kern w:val="0"/>
          <w:sz w:val="24"/>
          <w:szCs w:val="24"/>
        </w:rPr>
        <w:t>corporate</w:t>
      </w:r>
      <w:r w:rsidR="0095112F" w:rsidRPr="00062B0E">
        <w:rPr>
          <w:rFonts w:asciiTheme="majorBidi" w:hAnsiTheme="majorBidi" w:cstheme="majorBidi"/>
          <w:color w:val="434343"/>
          <w:kern w:val="0"/>
          <w:sz w:val="24"/>
          <w:szCs w:val="24"/>
        </w:rPr>
        <w:t xml:space="preserve"> law</w:t>
      </w:r>
      <w:r w:rsidRPr="00062B0E">
        <w:rPr>
          <w:rFonts w:asciiTheme="majorBidi" w:hAnsiTheme="majorBidi" w:cstheme="majorBidi"/>
          <w:color w:val="434343"/>
          <w:kern w:val="0"/>
          <w:sz w:val="24"/>
          <w:szCs w:val="24"/>
        </w:rPr>
        <w:t xml:space="preserve"> theory </w:t>
      </w:r>
      <w:r w:rsidR="0095112F" w:rsidRPr="00062B0E">
        <w:rPr>
          <w:rFonts w:asciiTheme="majorBidi" w:hAnsiTheme="majorBidi" w:cstheme="majorBidi"/>
          <w:color w:val="434343"/>
          <w:kern w:val="0"/>
          <w:sz w:val="24"/>
          <w:szCs w:val="24"/>
        </w:rPr>
        <w:t xml:space="preserve">seemed to be </w:t>
      </w:r>
      <w:r w:rsidRPr="00062B0E">
        <w:rPr>
          <w:rFonts w:asciiTheme="majorBidi" w:hAnsiTheme="majorBidi" w:cstheme="majorBidi"/>
          <w:color w:val="434343"/>
          <w:kern w:val="0"/>
          <w:sz w:val="24"/>
          <w:szCs w:val="24"/>
        </w:rPr>
        <w:t>missing in action</w:t>
      </w:r>
      <w:r w:rsidR="0095112F" w:rsidRPr="00062B0E">
        <w:rPr>
          <w:rFonts w:asciiTheme="majorBidi" w:hAnsiTheme="majorBidi" w:cstheme="majorBidi"/>
          <w:color w:val="434343"/>
          <w:kern w:val="0"/>
          <w:sz w:val="24"/>
          <w:szCs w:val="24"/>
        </w:rPr>
        <w:t xml:space="preserve"> for several decades after the 1920s, it reemerged as a major topic in</w:t>
      </w:r>
      <w:r w:rsidRPr="00062B0E">
        <w:rPr>
          <w:rFonts w:asciiTheme="majorBidi" w:hAnsiTheme="majorBidi" w:cstheme="majorBidi"/>
          <w:color w:val="434343"/>
          <w:kern w:val="0"/>
          <w:sz w:val="24"/>
          <w:szCs w:val="24"/>
        </w:rPr>
        <w:t xml:space="preserve"> the mid-1970s, when Jensen and Meckling published</w:t>
      </w:r>
      <w:r w:rsidR="00172882">
        <w:rPr>
          <w:rFonts w:asciiTheme="majorBidi" w:hAnsiTheme="majorBidi" w:cstheme="majorBidi"/>
          <w:color w:val="434343"/>
          <w:kern w:val="0"/>
          <w:sz w:val="24"/>
          <w:szCs w:val="24"/>
        </w:rPr>
        <w:t xml:space="preserve"> </w:t>
      </w:r>
      <w:r w:rsidRPr="00062B0E">
        <w:rPr>
          <w:rFonts w:asciiTheme="majorBidi" w:hAnsiTheme="majorBidi" w:cstheme="majorBidi"/>
          <w:color w:val="434343"/>
          <w:kern w:val="0"/>
          <w:sz w:val="24"/>
          <w:szCs w:val="24"/>
        </w:rPr>
        <w:t xml:space="preserve">their </w:t>
      </w:r>
      <w:r w:rsidR="00234794" w:rsidRPr="00062B0E">
        <w:rPr>
          <w:rFonts w:asciiTheme="majorBidi" w:hAnsiTheme="majorBidi" w:cstheme="majorBidi"/>
          <w:color w:val="434343"/>
          <w:kern w:val="0"/>
          <w:sz w:val="24"/>
          <w:szCs w:val="24"/>
        </w:rPr>
        <w:t>ground-breaking</w:t>
      </w:r>
      <w:r w:rsidRPr="00062B0E">
        <w:rPr>
          <w:rFonts w:asciiTheme="majorBidi" w:hAnsiTheme="majorBidi" w:cstheme="majorBidi"/>
          <w:color w:val="434343"/>
          <w:kern w:val="0"/>
          <w:sz w:val="24"/>
          <w:szCs w:val="24"/>
        </w:rPr>
        <w:t xml:space="preserve"> article on the agency theory of the firm</w:t>
      </w:r>
      <w:r w:rsidR="0095112F" w:rsidRPr="00062B0E">
        <w:rPr>
          <w:rFonts w:asciiTheme="majorBidi" w:hAnsiTheme="majorBidi" w:cstheme="majorBidi"/>
          <w:color w:val="434343"/>
          <w:kern w:val="0"/>
          <w:sz w:val="24"/>
          <w:szCs w:val="24"/>
        </w:rPr>
        <w:t xml:space="preserve">. Agency </w:t>
      </w:r>
      <w:r w:rsidR="0095112F" w:rsidRPr="00062B0E">
        <w:rPr>
          <w:rFonts w:asciiTheme="majorBidi" w:hAnsiTheme="majorBidi" w:cstheme="majorBidi"/>
          <w:color w:val="434343"/>
          <w:kern w:val="0"/>
          <w:sz w:val="24"/>
          <w:szCs w:val="24"/>
        </w:rPr>
        <w:lastRenderedPageBreak/>
        <w:t xml:space="preserve">theory, with its depiction of the corporation as a nexus of contracts, </w:t>
      </w:r>
      <w:r w:rsidRPr="00062B0E">
        <w:rPr>
          <w:rFonts w:asciiTheme="majorBidi" w:hAnsiTheme="majorBidi" w:cstheme="majorBidi"/>
          <w:color w:val="434343"/>
          <w:kern w:val="0"/>
          <w:sz w:val="24"/>
          <w:szCs w:val="24"/>
        </w:rPr>
        <w:t>subverted</w:t>
      </w:r>
      <w:r w:rsidR="0095112F" w:rsidRPr="00062B0E">
        <w:rPr>
          <w:rFonts w:asciiTheme="majorBidi" w:hAnsiTheme="majorBidi" w:cstheme="majorBidi"/>
          <w:color w:val="434343"/>
          <w:kern w:val="0"/>
          <w:sz w:val="24"/>
          <w:szCs w:val="24"/>
        </w:rPr>
        <w:t xml:space="preserve"> both managerialism and anti-managerialism.</w:t>
      </w:r>
    </w:p>
    <w:p w14:paraId="642B2A2F" w14:textId="7F1BAD86" w:rsidR="0085174F" w:rsidRPr="00062B0E" w:rsidRDefault="0095112F" w:rsidP="00062B0E">
      <w:pPr>
        <w:spacing w:line="360" w:lineRule="auto"/>
        <w:jc w:val="both"/>
        <w:rPr>
          <w:rFonts w:asciiTheme="majorBidi" w:hAnsiTheme="majorBidi" w:cstheme="majorBidi"/>
          <w:color w:val="434343"/>
          <w:kern w:val="0"/>
          <w:sz w:val="24"/>
          <w:szCs w:val="24"/>
        </w:rPr>
      </w:pPr>
      <w:r w:rsidRPr="00062B0E">
        <w:rPr>
          <w:rFonts w:asciiTheme="majorBidi" w:hAnsiTheme="majorBidi" w:cstheme="majorBidi"/>
          <w:color w:val="434343"/>
          <w:kern w:val="0"/>
          <w:sz w:val="24"/>
          <w:szCs w:val="24"/>
        </w:rPr>
        <w:t xml:space="preserve">Professor Hill’s </w:t>
      </w:r>
      <w:r w:rsidR="0085174F" w:rsidRPr="00062B0E">
        <w:rPr>
          <w:rFonts w:asciiTheme="majorBidi" w:hAnsiTheme="majorBidi" w:cstheme="majorBidi"/>
          <w:color w:val="434343"/>
          <w:kern w:val="0"/>
          <w:sz w:val="24"/>
          <w:szCs w:val="24"/>
        </w:rPr>
        <w:t>presentation</w:t>
      </w:r>
      <w:r w:rsidRPr="00062B0E">
        <w:rPr>
          <w:rFonts w:asciiTheme="majorBidi" w:hAnsiTheme="majorBidi" w:cstheme="majorBidi"/>
          <w:color w:val="434343"/>
          <w:kern w:val="0"/>
          <w:sz w:val="24"/>
          <w:szCs w:val="24"/>
        </w:rPr>
        <w:t xml:space="preserve"> </w:t>
      </w:r>
      <w:r w:rsidR="0085174F" w:rsidRPr="00062B0E">
        <w:rPr>
          <w:rFonts w:asciiTheme="majorBidi" w:hAnsiTheme="majorBidi" w:cstheme="majorBidi"/>
          <w:color w:val="434343"/>
          <w:kern w:val="0"/>
          <w:sz w:val="24"/>
          <w:szCs w:val="24"/>
        </w:rPr>
        <w:t>critically examine</w:t>
      </w:r>
      <w:r w:rsidRPr="00062B0E">
        <w:rPr>
          <w:rFonts w:asciiTheme="majorBidi" w:hAnsiTheme="majorBidi" w:cstheme="majorBidi"/>
          <w:color w:val="434343"/>
          <w:kern w:val="0"/>
          <w:sz w:val="24"/>
          <w:szCs w:val="24"/>
        </w:rPr>
        <w:t>d</w:t>
      </w:r>
      <w:r w:rsidR="0085174F" w:rsidRPr="00062B0E">
        <w:rPr>
          <w:rFonts w:asciiTheme="majorBidi" w:hAnsiTheme="majorBidi" w:cstheme="majorBidi"/>
          <w:color w:val="434343"/>
          <w:kern w:val="0"/>
          <w:sz w:val="24"/>
          <w:szCs w:val="24"/>
        </w:rPr>
        <w:t xml:space="preserve"> some of the assumptions generated by agency theory</w:t>
      </w:r>
      <w:r w:rsidR="00A511AE">
        <w:rPr>
          <w:rFonts w:asciiTheme="majorBidi" w:hAnsiTheme="majorBidi" w:cstheme="majorBidi"/>
          <w:color w:val="434343"/>
          <w:kern w:val="0"/>
          <w:sz w:val="24"/>
          <w:szCs w:val="24"/>
        </w:rPr>
        <w:t xml:space="preserve">, </w:t>
      </w:r>
      <w:r w:rsidRPr="00062B0E">
        <w:rPr>
          <w:rFonts w:asciiTheme="majorBidi" w:hAnsiTheme="majorBidi" w:cstheme="majorBidi"/>
          <w:color w:val="434343"/>
          <w:kern w:val="0"/>
          <w:sz w:val="24"/>
          <w:szCs w:val="24"/>
        </w:rPr>
        <w:t xml:space="preserve">assumptions that </w:t>
      </w:r>
      <w:r w:rsidR="0085174F" w:rsidRPr="00062B0E">
        <w:rPr>
          <w:rFonts w:asciiTheme="majorBidi" w:hAnsiTheme="majorBidi" w:cstheme="majorBidi"/>
          <w:color w:val="434343"/>
          <w:kern w:val="0"/>
          <w:sz w:val="24"/>
          <w:szCs w:val="24"/>
        </w:rPr>
        <w:t>subsequently became bedrock principles</w:t>
      </w:r>
      <w:r w:rsidRPr="00062B0E">
        <w:rPr>
          <w:rFonts w:asciiTheme="majorBidi" w:hAnsiTheme="majorBidi" w:cstheme="majorBidi"/>
          <w:color w:val="434343"/>
          <w:kern w:val="0"/>
          <w:sz w:val="24"/>
          <w:szCs w:val="24"/>
        </w:rPr>
        <w:t xml:space="preserve"> of modern corporate law and governance</w:t>
      </w:r>
      <w:r w:rsidR="0085174F" w:rsidRPr="00062B0E">
        <w:rPr>
          <w:rFonts w:asciiTheme="majorBidi" w:hAnsiTheme="majorBidi" w:cstheme="majorBidi"/>
          <w:color w:val="434343"/>
          <w:kern w:val="0"/>
          <w:sz w:val="24"/>
          <w:szCs w:val="24"/>
        </w:rPr>
        <w:t xml:space="preserve">. </w:t>
      </w:r>
      <w:r w:rsidRPr="00062B0E">
        <w:rPr>
          <w:rFonts w:asciiTheme="majorBidi" w:hAnsiTheme="majorBidi" w:cstheme="majorBidi"/>
          <w:color w:val="434343"/>
          <w:kern w:val="0"/>
          <w:sz w:val="24"/>
          <w:szCs w:val="24"/>
        </w:rPr>
        <w:t xml:space="preserve">She assessed </w:t>
      </w:r>
      <w:r w:rsidR="0085174F" w:rsidRPr="00062B0E">
        <w:rPr>
          <w:rFonts w:asciiTheme="majorBidi" w:hAnsiTheme="majorBidi" w:cstheme="majorBidi"/>
          <w:color w:val="434343"/>
          <w:kern w:val="0"/>
          <w:sz w:val="24"/>
          <w:szCs w:val="24"/>
        </w:rPr>
        <w:t>the extent to which those</w:t>
      </w:r>
      <w:r w:rsidRPr="00062B0E">
        <w:rPr>
          <w:rFonts w:asciiTheme="majorBidi" w:hAnsiTheme="majorBidi" w:cstheme="majorBidi"/>
          <w:color w:val="434343"/>
          <w:kern w:val="0"/>
          <w:sz w:val="24"/>
          <w:szCs w:val="24"/>
        </w:rPr>
        <w:t xml:space="preserve"> </w:t>
      </w:r>
      <w:r w:rsidR="0085174F" w:rsidRPr="00062B0E">
        <w:rPr>
          <w:rFonts w:asciiTheme="majorBidi" w:hAnsiTheme="majorBidi" w:cstheme="majorBidi"/>
          <w:color w:val="434343"/>
          <w:kern w:val="0"/>
          <w:sz w:val="24"/>
          <w:szCs w:val="24"/>
        </w:rPr>
        <w:t xml:space="preserve">principles </w:t>
      </w:r>
      <w:r w:rsidRPr="00062B0E">
        <w:rPr>
          <w:rFonts w:asciiTheme="majorBidi" w:hAnsiTheme="majorBidi" w:cstheme="majorBidi"/>
          <w:color w:val="434343"/>
          <w:kern w:val="0"/>
          <w:sz w:val="24"/>
          <w:szCs w:val="24"/>
        </w:rPr>
        <w:t>‘</w:t>
      </w:r>
      <w:r w:rsidR="0085174F" w:rsidRPr="00062B0E">
        <w:rPr>
          <w:rFonts w:asciiTheme="majorBidi" w:hAnsiTheme="majorBidi" w:cstheme="majorBidi"/>
          <w:color w:val="434343"/>
          <w:kern w:val="0"/>
          <w:sz w:val="24"/>
          <w:szCs w:val="24"/>
        </w:rPr>
        <w:t>correspond with the real world</w:t>
      </w:r>
      <w:r w:rsidRPr="00062B0E">
        <w:rPr>
          <w:rFonts w:asciiTheme="majorBidi" w:hAnsiTheme="majorBidi" w:cstheme="majorBidi"/>
          <w:color w:val="434343"/>
          <w:kern w:val="0"/>
          <w:sz w:val="24"/>
          <w:szCs w:val="24"/>
        </w:rPr>
        <w:t>’ in</w:t>
      </w:r>
      <w:r w:rsidR="0085174F" w:rsidRPr="00062B0E">
        <w:rPr>
          <w:rFonts w:asciiTheme="majorBidi" w:hAnsiTheme="majorBidi" w:cstheme="majorBidi"/>
          <w:color w:val="434343"/>
          <w:kern w:val="0"/>
          <w:sz w:val="24"/>
          <w:szCs w:val="24"/>
        </w:rPr>
        <w:t xml:space="preserve"> the 21st century</w:t>
      </w:r>
      <w:r w:rsidRPr="00062B0E">
        <w:rPr>
          <w:rFonts w:asciiTheme="majorBidi" w:hAnsiTheme="majorBidi" w:cstheme="majorBidi"/>
          <w:color w:val="434343"/>
          <w:kern w:val="0"/>
          <w:sz w:val="24"/>
          <w:szCs w:val="24"/>
        </w:rPr>
        <w:t xml:space="preserve"> </w:t>
      </w:r>
      <w:r w:rsidR="0085174F" w:rsidRPr="00062B0E">
        <w:rPr>
          <w:rFonts w:asciiTheme="majorBidi" w:hAnsiTheme="majorBidi" w:cstheme="majorBidi"/>
          <w:color w:val="434343"/>
          <w:kern w:val="0"/>
          <w:sz w:val="24"/>
          <w:szCs w:val="24"/>
        </w:rPr>
        <w:t>in relation to matters such as</w:t>
      </w:r>
      <w:r w:rsidRPr="00062B0E">
        <w:rPr>
          <w:rFonts w:asciiTheme="majorBidi" w:hAnsiTheme="majorBidi" w:cstheme="majorBidi"/>
          <w:color w:val="434343"/>
          <w:kern w:val="0"/>
          <w:sz w:val="24"/>
          <w:szCs w:val="24"/>
        </w:rPr>
        <w:t xml:space="preserve"> </w:t>
      </w:r>
      <w:r w:rsidR="0085174F" w:rsidRPr="00062B0E">
        <w:rPr>
          <w:rFonts w:asciiTheme="majorBidi" w:hAnsiTheme="majorBidi" w:cstheme="majorBidi"/>
          <w:color w:val="434343"/>
          <w:kern w:val="0"/>
          <w:sz w:val="24"/>
          <w:szCs w:val="24"/>
        </w:rPr>
        <w:t>the relationship between corporate managers and shareholders; private ordering;</w:t>
      </w:r>
      <w:r w:rsidRPr="00062B0E">
        <w:rPr>
          <w:rFonts w:asciiTheme="majorBidi" w:hAnsiTheme="majorBidi" w:cstheme="majorBidi"/>
          <w:color w:val="434343"/>
          <w:kern w:val="0"/>
          <w:sz w:val="24"/>
          <w:szCs w:val="24"/>
        </w:rPr>
        <w:t xml:space="preserve"> </w:t>
      </w:r>
      <w:r w:rsidR="0085174F" w:rsidRPr="00062B0E">
        <w:rPr>
          <w:rFonts w:asciiTheme="majorBidi" w:hAnsiTheme="majorBidi" w:cstheme="majorBidi"/>
          <w:color w:val="434343"/>
          <w:kern w:val="0"/>
          <w:sz w:val="24"/>
          <w:szCs w:val="24"/>
        </w:rPr>
        <w:t>shareholder activism and ESG; executive compensation; and corporate accountability</w:t>
      </w:r>
      <w:r w:rsidRPr="00062B0E">
        <w:rPr>
          <w:rFonts w:asciiTheme="majorBidi" w:hAnsiTheme="majorBidi" w:cstheme="majorBidi"/>
          <w:color w:val="434343"/>
          <w:kern w:val="0"/>
          <w:sz w:val="24"/>
          <w:szCs w:val="24"/>
        </w:rPr>
        <w:t xml:space="preserve"> and whether a new paradigm of the corporation is now needed</w:t>
      </w:r>
      <w:r w:rsidR="00AA49F7">
        <w:rPr>
          <w:rFonts w:asciiTheme="majorBidi" w:hAnsiTheme="majorBidi" w:cstheme="majorBidi"/>
          <w:color w:val="434343"/>
          <w:kern w:val="0"/>
          <w:sz w:val="24"/>
          <w:szCs w:val="24"/>
        </w:rPr>
        <w:t xml:space="preserve"> to accommodate governance changes that have occurred since Jensen and Meckling’s famous article</w:t>
      </w:r>
      <w:r w:rsidR="0085174F" w:rsidRPr="00062B0E">
        <w:rPr>
          <w:rFonts w:asciiTheme="majorBidi" w:hAnsiTheme="majorBidi" w:cstheme="majorBidi"/>
          <w:color w:val="434343"/>
          <w:kern w:val="0"/>
          <w:sz w:val="24"/>
          <w:szCs w:val="24"/>
        </w:rPr>
        <w:t>.</w:t>
      </w:r>
    </w:p>
    <w:p w14:paraId="0CC9FC17" w14:textId="1E6F0BFB" w:rsidR="00234794" w:rsidRPr="00062B0E" w:rsidRDefault="00234794" w:rsidP="00062B0E">
      <w:pPr>
        <w:autoSpaceDE w:val="0"/>
        <w:autoSpaceDN w:val="0"/>
        <w:adjustRightInd w:val="0"/>
        <w:spacing w:line="360" w:lineRule="auto"/>
        <w:jc w:val="both"/>
        <w:rPr>
          <w:rFonts w:asciiTheme="majorBidi" w:hAnsiTheme="majorBidi" w:cstheme="majorBidi"/>
          <w:color w:val="434343"/>
          <w:kern w:val="0"/>
          <w:sz w:val="24"/>
          <w:szCs w:val="24"/>
        </w:rPr>
      </w:pPr>
      <w:r w:rsidRPr="00062B0E">
        <w:rPr>
          <w:rFonts w:asciiTheme="majorBidi" w:hAnsiTheme="majorBidi" w:cstheme="majorBidi"/>
          <w:color w:val="434343"/>
          <w:kern w:val="0"/>
          <w:sz w:val="24"/>
          <w:szCs w:val="24"/>
        </w:rPr>
        <w:t>Dr Tim Bowley’s paper,</w:t>
      </w:r>
      <w:r w:rsidRPr="00062B0E">
        <w:rPr>
          <w:rFonts w:asciiTheme="majorBidi" w:hAnsiTheme="majorBidi" w:cstheme="majorBidi"/>
          <w:b/>
          <w:bCs/>
          <w:color w:val="434343"/>
          <w:kern w:val="0"/>
          <w:sz w:val="24"/>
          <w:szCs w:val="24"/>
        </w:rPr>
        <w:t xml:space="preserve"> Australia’s Industry Superannuation Funds: An Origin Story </w:t>
      </w:r>
      <w:r w:rsidRPr="00062B0E">
        <w:rPr>
          <w:rFonts w:asciiTheme="majorBidi" w:hAnsiTheme="majorBidi" w:cstheme="majorBidi"/>
          <w:color w:val="434343"/>
          <w:kern w:val="0"/>
          <w:sz w:val="24"/>
          <w:szCs w:val="24"/>
        </w:rPr>
        <w:t xml:space="preserve">examined the distinctive origins and engagement practices of ‘industry’ superannuation (pension) funds, which are some of the largest public company shareholders in Australia. These funds have become dominant players in the governance of Australian public companies </w:t>
      </w:r>
      <w:proofErr w:type="gramStart"/>
      <w:r w:rsidRPr="00062B0E">
        <w:rPr>
          <w:rFonts w:asciiTheme="majorBidi" w:hAnsiTheme="majorBidi" w:cstheme="majorBidi"/>
          <w:color w:val="434343"/>
          <w:kern w:val="0"/>
          <w:sz w:val="24"/>
          <w:szCs w:val="24"/>
        </w:rPr>
        <w:t>as a result of</w:t>
      </w:r>
      <w:proofErr w:type="gramEnd"/>
      <w:r w:rsidRPr="00062B0E">
        <w:rPr>
          <w:rFonts w:asciiTheme="majorBidi" w:hAnsiTheme="majorBidi" w:cstheme="majorBidi"/>
          <w:color w:val="434343"/>
          <w:kern w:val="0"/>
          <w:sz w:val="24"/>
          <w:szCs w:val="24"/>
        </w:rPr>
        <w:t xml:space="preserve"> steady fund inflows and a wave of fund mergers.</w:t>
      </w:r>
    </w:p>
    <w:p w14:paraId="332DCC64" w14:textId="700B11F3" w:rsidR="00234794" w:rsidRPr="00062B0E" w:rsidRDefault="009309C1" w:rsidP="00062B0E">
      <w:pPr>
        <w:autoSpaceDE w:val="0"/>
        <w:autoSpaceDN w:val="0"/>
        <w:adjustRightInd w:val="0"/>
        <w:spacing w:line="360" w:lineRule="auto"/>
        <w:jc w:val="both"/>
        <w:rPr>
          <w:rFonts w:asciiTheme="majorBidi" w:hAnsiTheme="majorBidi" w:cstheme="majorBidi"/>
          <w:color w:val="434343"/>
          <w:kern w:val="0"/>
          <w:sz w:val="24"/>
          <w:szCs w:val="24"/>
        </w:rPr>
      </w:pPr>
      <w:r w:rsidRPr="00062B0E">
        <w:rPr>
          <w:rFonts w:asciiTheme="majorBidi" w:hAnsiTheme="majorBidi" w:cstheme="majorBidi"/>
          <w:color w:val="434343"/>
          <w:kern w:val="0"/>
          <w:sz w:val="24"/>
          <w:szCs w:val="24"/>
        </w:rPr>
        <w:t xml:space="preserve">Contemporary analysis frequently uses agency theory to explain institutional investors ‘corporate governance behaviour. According to Dr Bowley, however, although agency theory has considerable explanatory power, it provides an incomplete explanation for the behaviour of Australia’s industry funds. </w:t>
      </w:r>
      <w:r w:rsidR="008A4CEA">
        <w:rPr>
          <w:rFonts w:asciiTheme="majorBidi" w:hAnsiTheme="majorBidi" w:cstheme="majorBidi"/>
          <w:color w:val="434343"/>
          <w:kern w:val="0"/>
          <w:sz w:val="24"/>
          <w:szCs w:val="24"/>
        </w:rPr>
        <w:t>In his view, l</w:t>
      </w:r>
      <w:r w:rsidRPr="00062B0E">
        <w:rPr>
          <w:rFonts w:asciiTheme="majorBidi" w:hAnsiTheme="majorBidi" w:cstheme="majorBidi"/>
          <w:color w:val="434343"/>
          <w:kern w:val="0"/>
          <w:sz w:val="24"/>
          <w:szCs w:val="24"/>
        </w:rPr>
        <w:t>egal history and path dependence provide a more complete account, revealing three additional factors that underpin the funds’ contemporary behaviour</w:t>
      </w:r>
      <w:r w:rsidR="007F0967">
        <w:rPr>
          <w:rFonts w:asciiTheme="majorBidi" w:hAnsiTheme="majorBidi" w:cstheme="majorBidi"/>
          <w:color w:val="434343"/>
          <w:kern w:val="0"/>
          <w:sz w:val="24"/>
          <w:szCs w:val="24"/>
        </w:rPr>
        <w:t>. These are</w:t>
      </w:r>
      <w:r w:rsidRPr="00062B0E">
        <w:rPr>
          <w:rFonts w:asciiTheme="majorBidi" w:hAnsiTheme="majorBidi" w:cstheme="majorBidi"/>
          <w:color w:val="434343"/>
          <w:kern w:val="0"/>
          <w:sz w:val="24"/>
          <w:szCs w:val="24"/>
        </w:rPr>
        <w:t xml:space="preserve"> the ‘missionary zeal’ of their leaders; the funds’ distinct common identity; and the strategic establishment of an ecosystem of allied organisations and service providers</w:t>
      </w:r>
      <w:r w:rsidR="00C96AA6">
        <w:rPr>
          <w:rFonts w:asciiTheme="majorBidi" w:hAnsiTheme="majorBidi" w:cstheme="majorBidi"/>
          <w:color w:val="434343"/>
          <w:kern w:val="0"/>
          <w:sz w:val="24"/>
          <w:szCs w:val="24"/>
        </w:rPr>
        <w:t>, which has allowed the funds to work together cooperatively</w:t>
      </w:r>
      <w:r w:rsidRPr="00062B0E">
        <w:rPr>
          <w:rFonts w:asciiTheme="majorBidi" w:hAnsiTheme="majorBidi" w:cstheme="majorBidi"/>
          <w:color w:val="434343"/>
          <w:kern w:val="0"/>
          <w:sz w:val="24"/>
          <w:szCs w:val="24"/>
        </w:rPr>
        <w:t>. These factors originate</w:t>
      </w:r>
      <w:r w:rsidR="00045D04">
        <w:rPr>
          <w:rFonts w:asciiTheme="majorBidi" w:hAnsiTheme="majorBidi" w:cstheme="majorBidi"/>
          <w:color w:val="434343"/>
          <w:kern w:val="0"/>
          <w:sz w:val="24"/>
          <w:szCs w:val="24"/>
        </w:rPr>
        <w:t>d</w:t>
      </w:r>
      <w:r w:rsidRPr="00062B0E">
        <w:rPr>
          <w:rFonts w:asciiTheme="majorBidi" w:hAnsiTheme="majorBidi" w:cstheme="majorBidi"/>
          <w:color w:val="434343"/>
          <w:kern w:val="0"/>
          <w:sz w:val="24"/>
          <w:szCs w:val="24"/>
        </w:rPr>
        <w:t xml:space="preserve"> in the funds’ early struggles to develop and prosper. According to Dr Bowley, </w:t>
      </w:r>
      <w:r w:rsidR="00234794" w:rsidRPr="00062B0E">
        <w:rPr>
          <w:rFonts w:asciiTheme="majorBidi" w:hAnsiTheme="majorBidi" w:cstheme="majorBidi"/>
          <w:color w:val="434343"/>
          <w:kern w:val="0"/>
          <w:sz w:val="24"/>
          <w:szCs w:val="24"/>
        </w:rPr>
        <w:t>this</w:t>
      </w:r>
      <w:r w:rsidRPr="00062B0E">
        <w:rPr>
          <w:rFonts w:asciiTheme="majorBidi" w:hAnsiTheme="majorBidi" w:cstheme="majorBidi"/>
          <w:color w:val="434343"/>
          <w:kern w:val="0"/>
          <w:sz w:val="24"/>
          <w:szCs w:val="24"/>
        </w:rPr>
        <w:t xml:space="preserve"> </w:t>
      </w:r>
      <w:r w:rsidR="00234794" w:rsidRPr="00062B0E">
        <w:rPr>
          <w:rFonts w:asciiTheme="majorBidi" w:hAnsiTheme="majorBidi" w:cstheme="majorBidi"/>
          <w:color w:val="434343"/>
          <w:kern w:val="0"/>
          <w:sz w:val="24"/>
          <w:szCs w:val="24"/>
        </w:rPr>
        <w:t xml:space="preserve">‘origin story’ also offers a cautionary message for the future. </w:t>
      </w:r>
      <w:r w:rsidR="00653B1B">
        <w:rPr>
          <w:rFonts w:asciiTheme="majorBidi" w:hAnsiTheme="majorBidi" w:cstheme="majorBidi"/>
          <w:color w:val="434343"/>
          <w:kern w:val="0"/>
          <w:sz w:val="24"/>
          <w:szCs w:val="24"/>
        </w:rPr>
        <w:t xml:space="preserve">This is because the </w:t>
      </w:r>
      <w:r w:rsidR="00234794" w:rsidRPr="00062B0E">
        <w:rPr>
          <w:rFonts w:asciiTheme="majorBidi" w:hAnsiTheme="majorBidi" w:cstheme="majorBidi"/>
          <w:color w:val="434343"/>
          <w:kern w:val="0"/>
          <w:sz w:val="24"/>
          <w:szCs w:val="24"/>
        </w:rPr>
        <w:t>factors are</w:t>
      </w:r>
      <w:r w:rsidRPr="00062B0E">
        <w:rPr>
          <w:rFonts w:asciiTheme="majorBidi" w:hAnsiTheme="majorBidi" w:cstheme="majorBidi"/>
          <w:color w:val="434343"/>
          <w:kern w:val="0"/>
          <w:sz w:val="24"/>
          <w:szCs w:val="24"/>
        </w:rPr>
        <w:t xml:space="preserve"> </w:t>
      </w:r>
      <w:r w:rsidR="00234794" w:rsidRPr="00062B0E">
        <w:rPr>
          <w:rFonts w:asciiTheme="majorBidi" w:hAnsiTheme="majorBidi" w:cstheme="majorBidi"/>
          <w:color w:val="434343"/>
          <w:kern w:val="0"/>
          <w:sz w:val="24"/>
          <w:szCs w:val="24"/>
        </w:rPr>
        <w:t>not ‘hard wired’ and may exert much less influence as industry superannuation funds</w:t>
      </w:r>
      <w:r w:rsidRPr="00062B0E">
        <w:rPr>
          <w:rFonts w:asciiTheme="majorBidi" w:hAnsiTheme="majorBidi" w:cstheme="majorBidi"/>
          <w:color w:val="434343"/>
          <w:kern w:val="0"/>
          <w:sz w:val="24"/>
          <w:szCs w:val="24"/>
        </w:rPr>
        <w:t xml:space="preserve"> </w:t>
      </w:r>
      <w:r w:rsidR="00234794" w:rsidRPr="00062B0E">
        <w:rPr>
          <w:rFonts w:asciiTheme="majorBidi" w:hAnsiTheme="majorBidi" w:cstheme="majorBidi"/>
          <w:color w:val="434343"/>
          <w:kern w:val="0"/>
          <w:sz w:val="24"/>
          <w:szCs w:val="24"/>
        </w:rPr>
        <w:t>develop into internationally significant financial institutions and move further in time from</w:t>
      </w:r>
      <w:r w:rsidRPr="00062B0E">
        <w:rPr>
          <w:rFonts w:asciiTheme="majorBidi" w:hAnsiTheme="majorBidi" w:cstheme="majorBidi"/>
          <w:color w:val="434343"/>
          <w:kern w:val="0"/>
          <w:sz w:val="24"/>
          <w:szCs w:val="24"/>
        </w:rPr>
        <w:t xml:space="preserve"> </w:t>
      </w:r>
      <w:r w:rsidR="00234794" w:rsidRPr="00062B0E">
        <w:rPr>
          <w:rFonts w:asciiTheme="majorBidi" w:hAnsiTheme="majorBidi" w:cstheme="majorBidi"/>
          <w:color w:val="434343"/>
          <w:kern w:val="0"/>
          <w:sz w:val="24"/>
          <w:szCs w:val="24"/>
        </w:rPr>
        <w:t xml:space="preserve">their unique institutional origins. </w:t>
      </w:r>
    </w:p>
    <w:p w14:paraId="44EF3747" w14:textId="3759524E" w:rsidR="00FF36F4" w:rsidRPr="00062B0E" w:rsidRDefault="001F08DA" w:rsidP="00C345A3">
      <w:pPr>
        <w:spacing w:line="360" w:lineRule="auto"/>
        <w:jc w:val="both"/>
        <w:rPr>
          <w:rFonts w:asciiTheme="majorBidi" w:hAnsiTheme="majorBidi" w:cstheme="majorBidi"/>
          <w:sz w:val="24"/>
          <w:szCs w:val="24"/>
        </w:rPr>
      </w:pPr>
      <w:r w:rsidRPr="00062B0E">
        <w:rPr>
          <w:rFonts w:asciiTheme="majorBidi" w:hAnsiTheme="majorBidi" w:cstheme="majorBidi"/>
          <w:sz w:val="24"/>
          <w:szCs w:val="24"/>
        </w:rPr>
        <w:t xml:space="preserve">The final paper in Session </w:t>
      </w:r>
      <w:r w:rsidR="005731EE">
        <w:rPr>
          <w:rFonts w:asciiTheme="majorBidi" w:hAnsiTheme="majorBidi" w:cstheme="majorBidi"/>
          <w:sz w:val="24"/>
          <w:szCs w:val="24"/>
        </w:rPr>
        <w:t>2</w:t>
      </w:r>
      <w:r w:rsidRPr="00062B0E">
        <w:rPr>
          <w:rFonts w:asciiTheme="majorBidi" w:hAnsiTheme="majorBidi" w:cstheme="majorBidi"/>
          <w:sz w:val="24"/>
          <w:szCs w:val="24"/>
        </w:rPr>
        <w:t xml:space="preserve"> was presented by </w:t>
      </w:r>
      <w:r w:rsidRPr="005731EE">
        <w:rPr>
          <w:rFonts w:asciiTheme="majorBidi" w:hAnsiTheme="majorBidi" w:cstheme="majorBidi"/>
          <w:b/>
          <w:bCs/>
          <w:sz w:val="24"/>
          <w:szCs w:val="24"/>
        </w:rPr>
        <w:t>Dr Victoria Barnes</w:t>
      </w:r>
      <w:r w:rsidRPr="00062B0E">
        <w:rPr>
          <w:rFonts w:asciiTheme="majorBidi" w:hAnsiTheme="majorBidi" w:cstheme="majorBidi"/>
          <w:sz w:val="24"/>
          <w:szCs w:val="24"/>
        </w:rPr>
        <w:t xml:space="preserve">, on the topic, </w:t>
      </w:r>
      <w:r w:rsidRPr="00062B0E">
        <w:rPr>
          <w:rFonts w:asciiTheme="majorBidi" w:hAnsiTheme="majorBidi" w:cstheme="majorBidi"/>
          <w:b/>
          <w:bCs/>
          <w:sz w:val="24"/>
          <w:szCs w:val="24"/>
        </w:rPr>
        <w:t>A History of CSR</w:t>
      </w:r>
      <w:r w:rsidRPr="00062B0E">
        <w:rPr>
          <w:rFonts w:asciiTheme="majorBidi" w:hAnsiTheme="majorBidi" w:cstheme="majorBidi"/>
          <w:sz w:val="24"/>
          <w:szCs w:val="24"/>
        </w:rPr>
        <w:t xml:space="preserve"> (co-authored with Ciarán O’Kelly and Ciara Hackett (Queen’s University Belfast, School of Law).</w:t>
      </w:r>
      <w:r w:rsidR="00F86C74" w:rsidRPr="00062B0E">
        <w:rPr>
          <w:rFonts w:asciiTheme="majorBidi" w:hAnsiTheme="majorBidi" w:cstheme="majorBidi"/>
          <w:sz w:val="24"/>
          <w:szCs w:val="24"/>
        </w:rPr>
        <w:t xml:space="preserve"> In this presentation, Dr Barnes noted that, although corporate social responsibility (CSR) has long been dismissed as a useful regulatory tool for corporate governance in the United Kingdom, it remains central in other common law jurisdictions, such as India. She also </w:t>
      </w:r>
      <w:r w:rsidR="00F86C74" w:rsidRPr="00062B0E">
        <w:rPr>
          <w:rFonts w:asciiTheme="majorBidi" w:hAnsiTheme="majorBidi" w:cstheme="majorBidi"/>
          <w:sz w:val="24"/>
          <w:szCs w:val="24"/>
        </w:rPr>
        <w:lastRenderedPageBreak/>
        <w:t xml:space="preserve">discussed the shift in UK corporate governance over the last few decades from CSR to environment, social and governance (ESG), with its close links to factors, such as equality, </w:t>
      </w:r>
      <w:proofErr w:type="gramStart"/>
      <w:r w:rsidR="00F86C74" w:rsidRPr="00062B0E">
        <w:rPr>
          <w:rFonts w:asciiTheme="majorBidi" w:hAnsiTheme="majorBidi" w:cstheme="majorBidi"/>
          <w:sz w:val="24"/>
          <w:szCs w:val="24"/>
        </w:rPr>
        <w:t>diversity</w:t>
      </w:r>
      <w:proofErr w:type="gramEnd"/>
      <w:r w:rsidR="00F86C74" w:rsidRPr="00062B0E">
        <w:rPr>
          <w:rFonts w:asciiTheme="majorBidi" w:hAnsiTheme="majorBidi" w:cstheme="majorBidi"/>
          <w:sz w:val="24"/>
          <w:szCs w:val="24"/>
        </w:rPr>
        <w:t xml:space="preserve"> and inclusion, as well as human rights and sustainability. </w:t>
      </w:r>
      <w:r w:rsidR="0022101A">
        <w:rPr>
          <w:rFonts w:asciiTheme="majorBidi" w:hAnsiTheme="majorBidi" w:cstheme="majorBidi"/>
          <w:sz w:val="24"/>
          <w:szCs w:val="24"/>
        </w:rPr>
        <w:t xml:space="preserve">Dr Barnes’ presentation </w:t>
      </w:r>
      <w:r w:rsidR="00876CBD">
        <w:rPr>
          <w:rFonts w:asciiTheme="majorBidi" w:hAnsiTheme="majorBidi" w:cstheme="majorBidi"/>
          <w:sz w:val="24"/>
          <w:szCs w:val="24"/>
        </w:rPr>
        <w:t xml:space="preserve">adopted </w:t>
      </w:r>
      <w:r w:rsidR="00F86C74" w:rsidRPr="00062B0E">
        <w:rPr>
          <w:rFonts w:asciiTheme="majorBidi" w:hAnsiTheme="majorBidi" w:cstheme="majorBidi"/>
          <w:sz w:val="24"/>
          <w:szCs w:val="24"/>
        </w:rPr>
        <w:t xml:space="preserve">a historical perspective </w:t>
      </w:r>
      <w:r w:rsidR="00907917" w:rsidRPr="00062B0E">
        <w:rPr>
          <w:rFonts w:asciiTheme="majorBidi" w:hAnsiTheme="majorBidi" w:cstheme="majorBidi"/>
          <w:sz w:val="24"/>
          <w:szCs w:val="24"/>
        </w:rPr>
        <w:t>to</w:t>
      </w:r>
      <w:r w:rsidR="00F86C74" w:rsidRPr="00062B0E">
        <w:rPr>
          <w:rFonts w:asciiTheme="majorBidi" w:hAnsiTheme="majorBidi" w:cstheme="majorBidi"/>
          <w:sz w:val="24"/>
          <w:szCs w:val="24"/>
        </w:rPr>
        <w:t xml:space="preserve"> reveal the ideological basis for CSR and the philosophy underpinning it. In tracing the birth of CSR</w:t>
      </w:r>
      <w:r w:rsidR="00334BC3">
        <w:rPr>
          <w:rFonts w:asciiTheme="majorBidi" w:hAnsiTheme="majorBidi" w:cstheme="majorBidi"/>
          <w:sz w:val="24"/>
          <w:szCs w:val="24"/>
        </w:rPr>
        <w:t>, together with</w:t>
      </w:r>
      <w:r w:rsidR="00F86C74" w:rsidRPr="00062B0E">
        <w:rPr>
          <w:rFonts w:asciiTheme="majorBidi" w:hAnsiTheme="majorBidi" w:cstheme="majorBidi"/>
          <w:sz w:val="24"/>
          <w:szCs w:val="24"/>
        </w:rPr>
        <w:t xml:space="preserve"> its demise, Dr Barnes </w:t>
      </w:r>
      <w:r w:rsidR="00334BC3">
        <w:rPr>
          <w:rFonts w:asciiTheme="majorBidi" w:hAnsiTheme="majorBidi" w:cstheme="majorBidi"/>
          <w:sz w:val="24"/>
          <w:szCs w:val="24"/>
        </w:rPr>
        <w:t xml:space="preserve">examined </w:t>
      </w:r>
      <w:r w:rsidR="00F86C74" w:rsidRPr="00062B0E">
        <w:rPr>
          <w:rFonts w:asciiTheme="majorBidi" w:hAnsiTheme="majorBidi" w:cstheme="majorBidi"/>
          <w:sz w:val="24"/>
          <w:szCs w:val="24"/>
        </w:rPr>
        <w:t>when CSR functioned more effectively than it does at present as a tool for corporate regulation.</w:t>
      </w:r>
    </w:p>
    <w:p w14:paraId="2AC663CD" w14:textId="77777777" w:rsidR="00C345A3" w:rsidRDefault="00C345A3" w:rsidP="00062B0E">
      <w:pPr>
        <w:spacing w:line="360" w:lineRule="auto"/>
        <w:jc w:val="both"/>
        <w:rPr>
          <w:rFonts w:asciiTheme="majorBidi" w:hAnsiTheme="majorBidi" w:cstheme="majorBidi"/>
          <w:b/>
          <w:bCs/>
          <w:sz w:val="24"/>
          <w:szCs w:val="24"/>
          <w:lang w:val="en-AU"/>
        </w:rPr>
      </w:pPr>
    </w:p>
    <w:p w14:paraId="6B985E75" w14:textId="78B74B08" w:rsidR="00CF75C8" w:rsidRPr="005D371A" w:rsidRDefault="00FF36F4" w:rsidP="00062B0E">
      <w:pPr>
        <w:spacing w:line="360" w:lineRule="auto"/>
        <w:jc w:val="both"/>
        <w:rPr>
          <w:rFonts w:asciiTheme="majorBidi" w:hAnsiTheme="majorBidi" w:cstheme="majorBidi"/>
          <w:b/>
          <w:bCs/>
          <w:sz w:val="24"/>
          <w:szCs w:val="24"/>
        </w:rPr>
      </w:pPr>
      <w:r w:rsidRPr="00062B0E">
        <w:rPr>
          <w:rFonts w:asciiTheme="majorBidi" w:hAnsiTheme="majorBidi" w:cstheme="majorBidi"/>
          <w:b/>
          <w:bCs/>
          <w:sz w:val="24"/>
          <w:szCs w:val="24"/>
          <w:lang w:val="en-AU"/>
        </w:rPr>
        <w:t>Session 3:</w:t>
      </w:r>
      <w:r w:rsidR="00CF75C8" w:rsidRPr="00062B0E">
        <w:rPr>
          <w:rFonts w:asciiTheme="majorBidi" w:hAnsiTheme="majorBidi" w:cstheme="majorBidi"/>
          <w:b/>
          <w:bCs/>
          <w:sz w:val="24"/>
          <w:szCs w:val="24"/>
          <w:lang w:val="en-AU"/>
        </w:rPr>
        <w:t xml:space="preserve"> </w:t>
      </w:r>
      <w:r w:rsidR="00CF75C8" w:rsidRPr="005D371A">
        <w:rPr>
          <w:rFonts w:asciiTheme="majorBidi" w:hAnsiTheme="majorBidi" w:cstheme="majorBidi"/>
          <w:b/>
          <w:bCs/>
          <w:sz w:val="24"/>
          <w:szCs w:val="24"/>
        </w:rPr>
        <w:t>Regulating Business in Different Contexts Around the World</w:t>
      </w:r>
    </w:p>
    <w:p w14:paraId="14AEA068" w14:textId="4F6CA869" w:rsidR="000551F5" w:rsidRPr="00062B0E" w:rsidRDefault="00CF75C8" w:rsidP="00062B0E">
      <w:pPr>
        <w:spacing w:line="360" w:lineRule="auto"/>
        <w:jc w:val="both"/>
        <w:rPr>
          <w:rFonts w:asciiTheme="majorBidi" w:hAnsiTheme="majorBidi" w:cstheme="majorBidi"/>
          <w:sz w:val="24"/>
          <w:szCs w:val="24"/>
        </w:rPr>
      </w:pPr>
      <w:r w:rsidRPr="00062B0E">
        <w:rPr>
          <w:rFonts w:asciiTheme="majorBidi" w:hAnsiTheme="majorBidi" w:cstheme="majorBidi"/>
          <w:b/>
          <w:bCs/>
          <w:sz w:val="24"/>
          <w:szCs w:val="24"/>
        </w:rPr>
        <w:t>Moderator</w:t>
      </w:r>
      <w:r w:rsidRPr="00062B0E">
        <w:rPr>
          <w:rFonts w:asciiTheme="majorBidi" w:hAnsiTheme="majorBidi" w:cstheme="majorBidi"/>
          <w:sz w:val="24"/>
          <w:szCs w:val="24"/>
        </w:rPr>
        <w:t>: Rosemary Langford (Melbourne Law School)</w:t>
      </w:r>
    </w:p>
    <w:p w14:paraId="3E01842F" w14:textId="77777777" w:rsidR="00CF75C8" w:rsidRPr="00062B0E" w:rsidRDefault="00CF75C8" w:rsidP="00062B0E">
      <w:pPr>
        <w:spacing w:line="360" w:lineRule="auto"/>
        <w:jc w:val="both"/>
        <w:rPr>
          <w:rFonts w:asciiTheme="majorBidi" w:hAnsiTheme="majorBidi" w:cstheme="majorBidi"/>
          <w:b/>
          <w:bCs/>
          <w:sz w:val="24"/>
          <w:szCs w:val="24"/>
        </w:rPr>
      </w:pPr>
      <w:r w:rsidRPr="00062B0E">
        <w:rPr>
          <w:rFonts w:asciiTheme="majorBidi" w:hAnsiTheme="majorBidi" w:cstheme="majorBidi"/>
          <w:b/>
          <w:bCs/>
          <w:sz w:val="24"/>
          <w:szCs w:val="24"/>
        </w:rPr>
        <w:t>Speakers</w:t>
      </w:r>
    </w:p>
    <w:p w14:paraId="2EACDD44" w14:textId="77250264" w:rsidR="00CF75C8" w:rsidRPr="00062B0E" w:rsidRDefault="00CF75C8" w:rsidP="00062B0E">
      <w:pPr>
        <w:spacing w:line="360" w:lineRule="auto"/>
        <w:jc w:val="both"/>
        <w:rPr>
          <w:rFonts w:asciiTheme="majorBidi" w:hAnsiTheme="majorBidi" w:cstheme="majorBidi"/>
          <w:sz w:val="24"/>
          <w:szCs w:val="24"/>
        </w:rPr>
      </w:pPr>
      <w:r w:rsidRPr="00062B0E">
        <w:rPr>
          <w:rFonts w:asciiTheme="majorBidi" w:hAnsiTheme="majorBidi" w:cstheme="majorBidi"/>
          <w:b/>
          <w:bCs/>
          <w:sz w:val="24"/>
          <w:szCs w:val="24"/>
        </w:rPr>
        <w:t>Donna Nagy</w:t>
      </w:r>
      <w:r w:rsidRPr="00062B0E">
        <w:rPr>
          <w:rFonts w:asciiTheme="majorBidi" w:hAnsiTheme="majorBidi" w:cstheme="majorBidi"/>
          <w:sz w:val="24"/>
          <w:szCs w:val="24"/>
        </w:rPr>
        <w:t xml:space="preserve"> (Maurer School of Law, University of Indiana)</w:t>
      </w:r>
    </w:p>
    <w:p w14:paraId="76B2B85B" w14:textId="252C348D" w:rsidR="00CF75C8" w:rsidRPr="00062B0E" w:rsidRDefault="00CF75C8" w:rsidP="00062B0E">
      <w:pPr>
        <w:spacing w:line="360" w:lineRule="auto"/>
        <w:jc w:val="both"/>
        <w:rPr>
          <w:rFonts w:asciiTheme="majorBidi" w:hAnsiTheme="majorBidi" w:cstheme="majorBidi"/>
          <w:sz w:val="24"/>
          <w:szCs w:val="24"/>
        </w:rPr>
      </w:pPr>
      <w:r w:rsidRPr="00062B0E">
        <w:rPr>
          <w:rFonts w:asciiTheme="majorBidi" w:hAnsiTheme="majorBidi" w:cstheme="majorBidi"/>
          <w:b/>
          <w:bCs/>
          <w:sz w:val="24"/>
          <w:szCs w:val="24"/>
        </w:rPr>
        <w:t>Tilly Clough</w:t>
      </w:r>
      <w:r w:rsidRPr="00062B0E">
        <w:rPr>
          <w:rFonts w:asciiTheme="majorBidi" w:hAnsiTheme="majorBidi" w:cstheme="majorBidi"/>
          <w:sz w:val="24"/>
          <w:szCs w:val="24"/>
        </w:rPr>
        <w:t xml:space="preserve"> (Queen’s University Belfast, School of Law) </w:t>
      </w:r>
    </w:p>
    <w:p w14:paraId="50915402" w14:textId="3E7837E3" w:rsidR="00CF75C8" w:rsidRPr="00062B0E" w:rsidRDefault="00CF75C8" w:rsidP="00062B0E">
      <w:pPr>
        <w:spacing w:line="360" w:lineRule="auto"/>
        <w:jc w:val="both"/>
        <w:rPr>
          <w:rFonts w:asciiTheme="majorBidi" w:hAnsiTheme="majorBidi" w:cstheme="majorBidi"/>
          <w:sz w:val="24"/>
          <w:szCs w:val="24"/>
        </w:rPr>
      </w:pPr>
      <w:r w:rsidRPr="00062B0E">
        <w:rPr>
          <w:rFonts w:asciiTheme="majorBidi" w:hAnsiTheme="majorBidi" w:cstheme="majorBidi"/>
          <w:b/>
          <w:bCs/>
          <w:sz w:val="24"/>
          <w:szCs w:val="24"/>
        </w:rPr>
        <w:t xml:space="preserve">Jenifer </w:t>
      </w:r>
      <w:proofErr w:type="spellStart"/>
      <w:r w:rsidRPr="00062B0E">
        <w:rPr>
          <w:rFonts w:asciiTheme="majorBidi" w:hAnsiTheme="majorBidi" w:cstheme="majorBidi"/>
          <w:b/>
          <w:bCs/>
          <w:sz w:val="24"/>
          <w:szCs w:val="24"/>
        </w:rPr>
        <w:t>Varzaly</w:t>
      </w:r>
      <w:proofErr w:type="spellEnd"/>
      <w:r w:rsidRPr="00062B0E">
        <w:rPr>
          <w:rFonts w:asciiTheme="majorBidi" w:hAnsiTheme="majorBidi" w:cstheme="majorBidi"/>
          <w:sz w:val="24"/>
          <w:szCs w:val="24"/>
        </w:rPr>
        <w:t xml:space="preserve"> (Durham University Law School)</w:t>
      </w:r>
    </w:p>
    <w:p w14:paraId="6A480F50" w14:textId="66BFBD53" w:rsidR="00CF75C8" w:rsidRPr="00062B0E" w:rsidRDefault="00CF75C8" w:rsidP="00062B0E">
      <w:pPr>
        <w:spacing w:line="360" w:lineRule="auto"/>
        <w:jc w:val="both"/>
        <w:rPr>
          <w:rFonts w:asciiTheme="majorBidi" w:hAnsiTheme="majorBidi" w:cstheme="majorBidi"/>
          <w:sz w:val="24"/>
          <w:szCs w:val="24"/>
        </w:rPr>
      </w:pPr>
      <w:r w:rsidRPr="00062B0E">
        <w:rPr>
          <w:rFonts w:asciiTheme="majorBidi" w:hAnsiTheme="majorBidi" w:cstheme="majorBidi"/>
          <w:b/>
          <w:bCs/>
          <w:sz w:val="24"/>
          <w:szCs w:val="24"/>
        </w:rPr>
        <w:t>Tom Gosling</w:t>
      </w:r>
      <w:r w:rsidRPr="00062B0E">
        <w:rPr>
          <w:rFonts w:asciiTheme="majorBidi" w:hAnsiTheme="majorBidi" w:cstheme="majorBidi"/>
          <w:sz w:val="24"/>
          <w:szCs w:val="24"/>
        </w:rPr>
        <w:t xml:space="preserve"> (London Business School; Executive Fellow, ECGI) </w:t>
      </w:r>
    </w:p>
    <w:p w14:paraId="74AFFA04" w14:textId="77777777" w:rsidR="00CF75C8" w:rsidRPr="00062B0E" w:rsidRDefault="00CF75C8" w:rsidP="00062B0E">
      <w:pPr>
        <w:spacing w:line="360" w:lineRule="auto"/>
        <w:jc w:val="both"/>
        <w:rPr>
          <w:rFonts w:asciiTheme="majorBidi" w:hAnsiTheme="majorBidi" w:cstheme="majorBidi"/>
          <w:sz w:val="24"/>
          <w:szCs w:val="24"/>
        </w:rPr>
      </w:pPr>
    </w:p>
    <w:p w14:paraId="47311450" w14:textId="77777777" w:rsidR="00863A59" w:rsidRDefault="00260363" w:rsidP="00062B0E">
      <w:pPr>
        <w:spacing w:line="360" w:lineRule="auto"/>
        <w:jc w:val="both"/>
        <w:rPr>
          <w:rFonts w:asciiTheme="majorBidi" w:hAnsiTheme="majorBidi" w:cstheme="majorBidi"/>
          <w:sz w:val="24"/>
          <w:szCs w:val="24"/>
        </w:rPr>
      </w:pPr>
      <w:r w:rsidRPr="00062B0E">
        <w:rPr>
          <w:rFonts w:asciiTheme="majorBidi" w:hAnsiTheme="majorBidi" w:cstheme="majorBidi"/>
          <w:sz w:val="24"/>
          <w:szCs w:val="24"/>
        </w:rPr>
        <w:t xml:space="preserve">The final session of the Workshop discussed the historical trajectory of several key areas of corporate governance regulation. </w:t>
      </w:r>
      <w:r w:rsidR="00285E46" w:rsidRPr="00285E46">
        <w:rPr>
          <w:rFonts w:asciiTheme="majorBidi" w:hAnsiTheme="majorBidi" w:cstheme="majorBidi"/>
          <w:b/>
          <w:bCs/>
          <w:sz w:val="24"/>
          <w:szCs w:val="24"/>
        </w:rPr>
        <w:t xml:space="preserve">Professor </w:t>
      </w:r>
      <w:r w:rsidRPr="00AD018F">
        <w:rPr>
          <w:rFonts w:asciiTheme="majorBidi" w:hAnsiTheme="majorBidi" w:cstheme="majorBidi"/>
          <w:b/>
          <w:bCs/>
          <w:sz w:val="24"/>
          <w:szCs w:val="24"/>
        </w:rPr>
        <w:t>Donna Nagy</w:t>
      </w:r>
      <w:r w:rsidRPr="00062B0E">
        <w:rPr>
          <w:rFonts w:asciiTheme="majorBidi" w:hAnsiTheme="majorBidi" w:cstheme="majorBidi"/>
          <w:sz w:val="24"/>
          <w:szCs w:val="24"/>
        </w:rPr>
        <w:t xml:space="preserve"> opened the session with a historical account of insider trading law in the United States. Her paper, </w:t>
      </w:r>
      <w:r w:rsidR="00CF75C8" w:rsidRPr="00062B0E">
        <w:rPr>
          <w:rFonts w:asciiTheme="majorBidi" w:hAnsiTheme="majorBidi" w:cstheme="majorBidi"/>
          <w:b/>
          <w:bCs/>
          <w:sz w:val="24"/>
          <w:szCs w:val="24"/>
          <w:lang w:val="en-AU"/>
        </w:rPr>
        <w:t>Beyond Fiduciaries</w:t>
      </w:r>
      <w:r w:rsidR="00216525" w:rsidRPr="00062B0E">
        <w:rPr>
          <w:rFonts w:asciiTheme="majorBidi" w:hAnsiTheme="majorBidi" w:cstheme="majorBidi"/>
          <w:b/>
          <w:bCs/>
          <w:sz w:val="24"/>
          <w:szCs w:val="24"/>
          <w:lang w:val="en-AU"/>
        </w:rPr>
        <w:t xml:space="preserve"> - </w:t>
      </w:r>
      <w:r w:rsidR="00510143" w:rsidRPr="00062B0E">
        <w:rPr>
          <w:rFonts w:asciiTheme="majorBidi" w:hAnsiTheme="majorBidi" w:cstheme="majorBidi"/>
          <w:b/>
          <w:bCs/>
          <w:sz w:val="24"/>
          <w:szCs w:val="24"/>
          <w:lang w:val="en-AU"/>
        </w:rPr>
        <w:t>US</w:t>
      </w:r>
      <w:r w:rsidRPr="00062B0E">
        <w:rPr>
          <w:rFonts w:asciiTheme="majorBidi" w:hAnsiTheme="majorBidi" w:cstheme="majorBidi"/>
          <w:b/>
          <w:bCs/>
          <w:sz w:val="24"/>
          <w:szCs w:val="24"/>
        </w:rPr>
        <w:t xml:space="preserve"> </w:t>
      </w:r>
      <w:r w:rsidR="00CF75C8" w:rsidRPr="00062B0E">
        <w:rPr>
          <w:rFonts w:asciiTheme="majorBidi" w:hAnsiTheme="majorBidi" w:cstheme="majorBidi"/>
          <w:b/>
          <w:bCs/>
          <w:sz w:val="24"/>
          <w:szCs w:val="24"/>
        </w:rPr>
        <w:t>Insider Trading Law and a Broader Embrace of the Common Law</w:t>
      </w:r>
      <w:r w:rsidR="00216525" w:rsidRPr="00062B0E">
        <w:rPr>
          <w:rFonts w:asciiTheme="majorBidi" w:hAnsiTheme="majorBidi" w:cstheme="majorBidi"/>
          <w:sz w:val="24"/>
          <w:szCs w:val="24"/>
        </w:rPr>
        <w:t xml:space="preserve">, noted that insider trading law in the United States is drawn mainly from administrative and judicial interpretations of Section 10(b) of the Securities Exchange Act of 1934 and the famous Rule 10b-5, which prohibit fraud ‘in connection with the purchase or sale of any security’. </w:t>
      </w:r>
    </w:p>
    <w:p w14:paraId="3047C5B0" w14:textId="7F417146" w:rsidR="00CF75C8" w:rsidRPr="00062B0E" w:rsidRDefault="00C97744" w:rsidP="00062B0E">
      <w:pPr>
        <w:spacing w:line="360" w:lineRule="auto"/>
        <w:jc w:val="both"/>
        <w:rPr>
          <w:rFonts w:asciiTheme="majorBidi" w:hAnsiTheme="majorBidi" w:cstheme="majorBidi"/>
          <w:sz w:val="24"/>
          <w:szCs w:val="24"/>
        </w:rPr>
      </w:pPr>
      <w:r w:rsidRPr="00C97744">
        <w:rPr>
          <w:rFonts w:asciiTheme="majorBidi" w:hAnsiTheme="majorBidi" w:cstheme="majorBidi"/>
          <w:sz w:val="24"/>
          <w:szCs w:val="24"/>
        </w:rPr>
        <w:t>Professor Nagy</w:t>
      </w:r>
      <w:r w:rsidR="00216525" w:rsidRPr="00062B0E">
        <w:rPr>
          <w:rFonts w:asciiTheme="majorBidi" w:hAnsiTheme="majorBidi" w:cstheme="majorBidi"/>
          <w:sz w:val="24"/>
          <w:szCs w:val="24"/>
        </w:rPr>
        <w:t xml:space="preserve"> </w:t>
      </w:r>
      <w:r w:rsidR="00285E46">
        <w:rPr>
          <w:rFonts w:asciiTheme="majorBidi" w:hAnsiTheme="majorBidi" w:cstheme="majorBidi"/>
          <w:sz w:val="24"/>
          <w:szCs w:val="24"/>
        </w:rPr>
        <w:t xml:space="preserve">stated </w:t>
      </w:r>
      <w:r w:rsidR="00216525" w:rsidRPr="00062B0E">
        <w:rPr>
          <w:rFonts w:asciiTheme="majorBidi" w:hAnsiTheme="majorBidi" w:cstheme="majorBidi"/>
          <w:sz w:val="24"/>
          <w:szCs w:val="24"/>
        </w:rPr>
        <w:t xml:space="preserve">that the principal challenge in prosecuting insider trading as a violation of these antifraud provisions traditionally involved the need to establish that a defendant’s silence about material non-public information is ‘deceptive’. </w:t>
      </w:r>
      <w:r>
        <w:rPr>
          <w:rFonts w:asciiTheme="majorBidi" w:hAnsiTheme="majorBidi" w:cstheme="majorBidi"/>
          <w:sz w:val="24"/>
          <w:szCs w:val="24"/>
        </w:rPr>
        <w:t xml:space="preserve">She </w:t>
      </w:r>
      <w:r w:rsidR="00216525" w:rsidRPr="00062B0E">
        <w:rPr>
          <w:rFonts w:asciiTheme="majorBidi" w:hAnsiTheme="majorBidi" w:cstheme="majorBidi"/>
          <w:sz w:val="24"/>
          <w:szCs w:val="24"/>
        </w:rPr>
        <w:t xml:space="preserve">argued, however, that the </w:t>
      </w:r>
      <w:r w:rsidR="00510143" w:rsidRPr="00062B0E">
        <w:rPr>
          <w:rFonts w:asciiTheme="majorBidi" w:hAnsiTheme="majorBidi" w:cstheme="majorBidi"/>
          <w:sz w:val="24"/>
          <w:szCs w:val="24"/>
        </w:rPr>
        <w:t>US</w:t>
      </w:r>
      <w:r w:rsidR="00216525" w:rsidRPr="00062B0E">
        <w:rPr>
          <w:rFonts w:asciiTheme="majorBidi" w:hAnsiTheme="majorBidi" w:cstheme="majorBidi"/>
          <w:sz w:val="24"/>
          <w:szCs w:val="24"/>
        </w:rPr>
        <w:t xml:space="preserve"> Supreme Court has, in fact, exacerbated that challenge</w:t>
      </w:r>
      <w:r w:rsidR="00863A59">
        <w:rPr>
          <w:rFonts w:asciiTheme="majorBidi" w:hAnsiTheme="majorBidi" w:cstheme="majorBidi"/>
          <w:sz w:val="24"/>
          <w:szCs w:val="24"/>
        </w:rPr>
        <w:t xml:space="preserve">. This is because the court has insisted </w:t>
      </w:r>
      <w:r w:rsidR="00216525" w:rsidRPr="00062B0E">
        <w:rPr>
          <w:rFonts w:asciiTheme="majorBidi" w:hAnsiTheme="majorBidi" w:cstheme="majorBidi"/>
          <w:sz w:val="24"/>
          <w:szCs w:val="24"/>
        </w:rPr>
        <w:t xml:space="preserve">that disclosure duties will only arise in the context of fiduciary-like relationships between either the trader/tipper and the issuer’s shareholders (the ‘classical theory’ articulated in </w:t>
      </w:r>
      <w:r w:rsidR="00216525" w:rsidRPr="00062B0E">
        <w:rPr>
          <w:rFonts w:asciiTheme="majorBidi" w:hAnsiTheme="majorBidi" w:cstheme="majorBidi"/>
          <w:i/>
          <w:iCs/>
          <w:sz w:val="24"/>
          <w:szCs w:val="24"/>
        </w:rPr>
        <w:t xml:space="preserve">Chiarella v </w:t>
      </w:r>
      <w:r w:rsidR="00216525" w:rsidRPr="00062B0E">
        <w:rPr>
          <w:rFonts w:asciiTheme="majorBidi" w:hAnsiTheme="majorBidi" w:cstheme="majorBidi"/>
          <w:i/>
          <w:iCs/>
          <w:sz w:val="24"/>
          <w:szCs w:val="24"/>
        </w:rPr>
        <w:lastRenderedPageBreak/>
        <w:t>United States</w:t>
      </w:r>
      <w:r w:rsidR="00216525" w:rsidRPr="00062B0E">
        <w:rPr>
          <w:rFonts w:asciiTheme="majorBidi" w:hAnsiTheme="majorBidi" w:cstheme="majorBidi"/>
          <w:sz w:val="24"/>
          <w:szCs w:val="24"/>
        </w:rPr>
        <w:t xml:space="preserve"> (1980)</w:t>
      </w:r>
      <w:r w:rsidR="00F94085">
        <w:rPr>
          <w:rFonts w:asciiTheme="majorBidi" w:hAnsiTheme="majorBidi" w:cstheme="majorBidi"/>
          <w:sz w:val="24"/>
          <w:szCs w:val="24"/>
        </w:rPr>
        <w:t>)</w:t>
      </w:r>
      <w:r w:rsidR="00216525" w:rsidRPr="00062B0E">
        <w:rPr>
          <w:rFonts w:asciiTheme="majorBidi" w:hAnsiTheme="majorBidi" w:cstheme="majorBidi"/>
          <w:sz w:val="24"/>
          <w:szCs w:val="24"/>
        </w:rPr>
        <w:t xml:space="preserve"> or the trader/tipper and the information’s source (the ‘misappropriation theory’ endorsed in </w:t>
      </w:r>
      <w:r w:rsidR="00216525" w:rsidRPr="00062B0E">
        <w:rPr>
          <w:rFonts w:asciiTheme="majorBidi" w:hAnsiTheme="majorBidi" w:cstheme="majorBidi"/>
          <w:i/>
          <w:iCs/>
          <w:sz w:val="24"/>
          <w:szCs w:val="24"/>
        </w:rPr>
        <w:t xml:space="preserve">United States v </w:t>
      </w:r>
      <w:proofErr w:type="gramStart"/>
      <w:r w:rsidR="00216525" w:rsidRPr="00062B0E">
        <w:rPr>
          <w:rFonts w:asciiTheme="majorBidi" w:hAnsiTheme="majorBidi" w:cstheme="majorBidi"/>
          <w:i/>
          <w:iCs/>
          <w:sz w:val="24"/>
          <w:szCs w:val="24"/>
        </w:rPr>
        <w:t>O’Hagan</w:t>
      </w:r>
      <w:r w:rsidR="00216525" w:rsidRPr="00062B0E">
        <w:rPr>
          <w:rFonts w:asciiTheme="majorBidi" w:hAnsiTheme="majorBidi" w:cstheme="majorBidi"/>
          <w:sz w:val="24"/>
          <w:szCs w:val="24"/>
        </w:rPr>
        <w:t>(</w:t>
      </w:r>
      <w:proofErr w:type="gramEnd"/>
      <w:r w:rsidR="00216525" w:rsidRPr="00062B0E">
        <w:rPr>
          <w:rFonts w:asciiTheme="majorBidi" w:hAnsiTheme="majorBidi" w:cstheme="majorBidi"/>
          <w:sz w:val="24"/>
          <w:szCs w:val="24"/>
        </w:rPr>
        <w:t xml:space="preserve">1997)). </w:t>
      </w:r>
      <w:r w:rsidR="007711A8">
        <w:rPr>
          <w:rFonts w:asciiTheme="majorBidi" w:hAnsiTheme="majorBidi" w:cstheme="majorBidi"/>
          <w:sz w:val="24"/>
          <w:szCs w:val="24"/>
        </w:rPr>
        <w:t xml:space="preserve">Professor </w:t>
      </w:r>
      <w:r w:rsidR="00216525" w:rsidRPr="00062B0E">
        <w:rPr>
          <w:rFonts w:asciiTheme="majorBidi" w:hAnsiTheme="majorBidi" w:cstheme="majorBidi"/>
          <w:sz w:val="24"/>
          <w:szCs w:val="24"/>
        </w:rPr>
        <w:t>Nagy’s presentation highlight</w:t>
      </w:r>
      <w:r w:rsidR="007711A8">
        <w:rPr>
          <w:rFonts w:asciiTheme="majorBidi" w:hAnsiTheme="majorBidi" w:cstheme="majorBidi"/>
          <w:sz w:val="24"/>
          <w:szCs w:val="24"/>
        </w:rPr>
        <w:t>ed</w:t>
      </w:r>
      <w:r w:rsidR="00216525" w:rsidRPr="00062B0E">
        <w:rPr>
          <w:rFonts w:asciiTheme="majorBidi" w:hAnsiTheme="majorBidi" w:cstheme="majorBidi"/>
          <w:sz w:val="24"/>
          <w:szCs w:val="24"/>
        </w:rPr>
        <w:t xml:space="preserve"> an alternative exception to the general common law principle that only affirmative misstatements can be actionable as deceit - namely, the exception for</w:t>
      </w:r>
      <w:r w:rsidR="00BB5AC8" w:rsidRPr="00062B0E">
        <w:rPr>
          <w:rFonts w:asciiTheme="majorBidi" w:hAnsiTheme="majorBidi" w:cstheme="majorBidi"/>
          <w:sz w:val="24"/>
          <w:szCs w:val="24"/>
        </w:rPr>
        <w:t xml:space="preserve"> </w:t>
      </w:r>
      <w:r w:rsidR="00216525" w:rsidRPr="00062B0E">
        <w:rPr>
          <w:rFonts w:asciiTheme="majorBidi" w:hAnsiTheme="majorBidi" w:cstheme="majorBidi"/>
          <w:sz w:val="24"/>
          <w:szCs w:val="24"/>
        </w:rPr>
        <w:t xml:space="preserve">nondisclosure of material facts in transactions </w:t>
      </w:r>
      <w:r w:rsidR="0023103F">
        <w:rPr>
          <w:rFonts w:asciiTheme="majorBidi" w:hAnsiTheme="majorBidi" w:cstheme="majorBidi"/>
          <w:sz w:val="24"/>
          <w:szCs w:val="24"/>
        </w:rPr>
        <w:t xml:space="preserve">where </w:t>
      </w:r>
      <w:r w:rsidR="00216525" w:rsidRPr="00062B0E">
        <w:rPr>
          <w:rFonts w:asciiTheme="majorBidi" w:hAnsiTheme="majorBidi" w:cstheme="majorBidi"/>
          <w:sz w:val="24"/>
          <w:szCs w:val="24"/>
        </w:rPr>
        <w:t>the knowledgeable party’s</w:t>
      </w:r>
      <w:r w:rsidR="00BB5AC8" w:rsidRPr="00062B0E">
        <w:rPr>
          <w:rFonts w:asciiTheme="majorBidi" w:hAnsiTheme="majorBidi" w:cstheme="majorBidi"/>
          <w:sz w:val="24"/>
          <w:szCs w:val="24"/>
        </w:rPr>
        <w:t xml:space="preserve"> </w:t>
      </w:r>
      <w:r w:rsidR="00216525" w:rsidRPr="00062B0E">
        <w:rPr>
          <w:rFonts w:asciiTheme="majorBidi" w:hAnsiTheme="majorBidi" w:cstheme="majorBidi"/>
          <w:sz w:val="24"/>
          <w:szCs w:val="24"/>
        </w:rPr>
        <w:t xml:space="preserve">informational advantage was wrongfully obtained. </w:t>
      </w:r>
      <w:r w:rsidR="00BB5AC8" w:rsidRPr="00062B0E">
        <w:rPr>
          <w:rFonts w:asciiTheme="majorBidi" w:hAnsiTheme="majorBidi" w:cstheme="majorBidi"/>
          <w:sz w:val="24"/>
          <w:szCs w:val="24"/>
        </w:rPr>
        <w:t xml:space="preserve">While accepting that it is </w:t>
      </w:r>
      <w:r w:rsidR="00216525" w:rsidRPr="00062B0E">
        <w:rPr>
          <w:rFonts w:asciiTheme="majorBidi" w:hAnsiTheme="majorBidi" w:cstheme="majorBidi"/>
          <w:sz w:val="24"/>
          <w:szCs w:val="24"/>
        </w:rPr>
        <w:t xml:space="preserve">highly unlikely that </w:t>
      </w:r>
      <w:r w:rsidR="00510143" w:rsidRPr="00062B0E">
        <w:rPr>
          <w:rFonts w:asciiTheme="majorBidi" w:hAnsiTheme="majorBidi" w:cstheme="majorBidi"/>
          <w:sz w:val="24"/>
          <w:szCs w:val="24"/>
        </w:rPr>
        <w:t>US</w:t>
      </w:r>
      <w:r w:rsidR="00BB5AC8" w:rsidRPr="00062B0E">
        <w:rPr>
          <w:rFonts w:asciiTheme="majorBidi" w:hAnsiTheme="majorBidi" w:cstheme="majorBidi"/>
          <w:sz w:val="24"/>
          <w:szCs w:val="24"/>
        </w:rPr>
        <w:t xml:space="preserve"> </w:t>
      </w:r>
      <w:r w:rsidR="00216525" w:rsidRPr="00062B0E">
        <w:rPr>
          <w:rFonts w:asciiTheme="majorBidi" w:hAnsiTheme="majorBidi" w:cstheme="majorBidi"/>
          <w:sz w:val="24"/>
          <w:szCs w:val="24"/>
        </w:rPr>
        <w:t>courts will reframe the insider trading offence to embrace a broader conception of common</w:t>
      </w:r>
      <w:r w:rsidR="00BB5AC8" w:rsidRPr="00062B0E">
        <w:rPr>
          <w:rFonts w:asciiTheme="majorBidi" w:hAnsiTheme="majorBidi" w:cstheme="majorBidi"/>
          <w:sz w:val="24"/>
          <w:szCs w:val="24"/>
        </w:rPr>
        <w:t xml:space="preserve"> </w:t>
      </w:r>
      <w:r w:rsidR="00216525" w:rsidRPr="00062B0E">
        <w:rPr>
          <w:rFonts w:asciiTheme="majorBidi" w:hAnsiTheme="majorBidi" w:cstheme="majorBidi"/>
          <w:sz w:val="24"/>
          <w:szCs w:val="24"/>
        </w:rPr>
        <w:t xml:space="preserve">law fraud, </w:t>
      </w:r>
      <w:r w:rsidR="00BB5AC8" w:rsidRPr="00062B0E">
        <w:rPr>
          <w:rFonts w:asciiTheme="majorBidi" w:hAnsiTheme="majorBidi" w:cstheme="majorBidi"/>
          <w:sz w:val="24"/>
          <w:szCs w:val="24"/>
        </w:rPr>
        <w:t xml:space="preserve">Dr Nagy argued that </w:t>
      </w:r>
      <w:r w:rsidR="00216525" w:rsidRPr="00062B0E">
        <w:rPr>
          <w:rFonts w:asciiTheme="majorBidi" w:hAnsiTheme="majorBidi" w:cstheme="majorBidi"/>
          <w:sz w:val="24"/>
          <w:szCs w:val="24"/>
        </w:rPr>
        <w:t xml:space="preserve">attention to this important </w:t>
      </w:r>
      <w:r w:rsidR="00BB5AC8" w:rsidRPr="00062B0E">
        <w:rPr>
          <w:rFonts w:asciiTheme="majorBidi" w:hAnsiTheme="majorBidi" w:cstheme="majorBidi"/>
          <w:sz w:val="24"/>
          <w:szCs w:val="24"/>
        </w:rPr>
        <w:t xml:space="preserve">aspect of legal </w:t>
      </w:r>
      <w:r w:rsidR="00216525" w:rsidRPr="00062B0E">
        <w:rPr>
          <w:rFonts w:asciiTheme="majorBidi" w:hAnsiTheme="majorBidi" w:cstheme="majorBidi"/>
          <w:sz w:val="24"/>
          <w:szCs w:val="24"/>
        </w:rPr>
        <w:t xml:space="preserve">history </w:t>
      </w:r>
      <w:r w:rsidR="00BB5AC8" w:rsidRPr="00062B0E">
        <w:rPr>
          <w:rFonts w:asciiTheme="majorBidi" w:hAnsiTheme="majorBidi" w:cstheme="majorBidi"/>
          <w:sz w:val="24"/>
          <w:szCs w:val="24"/>
        </w:rPr>
        <w:t xml:space="preserve">may </w:t>
      </w:r>
      <w:r w:rsidR="00216525" w:rsidRPr="00062B0E">
        <w:rPr>
          <w:rFonts w:asciiTheme="majorBidi" w:hAnsiTheme="majorBidi" w:cstheme="majorBidi"/>
          <w:sz w:val="24"/>
          <w:szCs w:val="24"/>
        </w:rPr>
        <w:t xml:space="preserve">hold considerable persuasive power as the </w:t>
      </w:r>
      <w:r w:rsidR="00510143" w:rsidRPr="00062B0E">
        <w:rPr>
          <w:rFonts w:asciiTheme="majorBidi" w:hAnsiTheme="majorBidi" w:cstheme="majorBidi"/>
          <w:sz w:val="24"/>
          <w:szCs w:val="24"/>
        </w:rPr>
        <w:t>US</w:t>
      </w:r>
      <w:r w:rsidR="00BB5AC8" w:rsidRPr="00062B0E">
        <w:rPr>
          <w:rFonts w:asciiTheme="majorBidi" w:hAnsiTheme="majorBidi" w:cstheme="majorBidi"/>
          <w:sz w:val="24"/>
          <w:szCs w:val="24"/>
        </w:rPr>
        <w:t xml:space="preserve"> </w:t>
      </w:r>
      <w:r w:rsidR="00216525" w:rsidRPr="00062B0E">
        <w:rPr>
          <w:rFonts w:asciiTheme="majorBidi" w:hAnsiTheme="majorBidi" w:cstheme="majorBidi"/>
          <w:sz w:val="24"/>
          <w:szCs w:val="24"/>
        </w:rPr>
        <w:t>Congress continues to contemplate legislative reform</w:t>
      </w:r>
      <w:r w:rsidR="00BB5AC8" w:rsidRPr="00062B0E">
        <w:rPr>
          <w:rFonts w:asciiTheme="majorBidi" w:hAnsiTheme="majorBidi" w:cstheme="majorBidi"/>
          <w:sz w:val="24"/>
          <w:szCs w:val="24"/>
        </w:rPr>
        <w:t xml:space="preserve"> </w:t>
      </w:r>
      <w:r w:rsidR="008B683F" w:rsidRPr="00062B0E">
        <w:rPr>
          <w:rFonts w:asciiTheme="majorBidi" w:hAnsiTheme="majorBidi" w:cstheme="majorBidi"/>
          <w:sz w:val="24"/>
          <w:szCs w:val="24"/>
        </w:rPr>
        <w:t xml:space="preserve">of </w:t>
      </w:r>
      <w:r w:rsidR="00BB5AC8" w:rsidRPr="00062B0E">
        <w:rPr>
          <w:rFonts w:asciiTheme="majorBidi" w:hAnsiTheme="majorBidi" w:cstheme="majorBidi"/>
          <w:sz w:val="24"/>
          <w:szCs w:val="24"/>
        </w:rPr>
        <w:t>insider trading</w:t>
      </w:r>
      <w:r w:rsidR="008B683F" w:rsidRPr="00062B0E">
        <w:rPr>
          <w:rFonts w:asciiTheme="majorBidi" w:hAnsiTheme="majorBidi" w:cstheme="majorBidi"/>
          <w:sz w:val="24"/>
          <w:szCs w:val="24"/>
        </w:rPr>
        <w:t xml:space="preserve"> law</w:t>
      </w:r>
      <w:r w:rsidR="00216525" w:rsidRPr="00062B0E">
        <w:rPr>
          <w:rFonts w:asciiTheme="majorBidi" w:hAnsiTheme="majorBidi" w:cstheme="majorBidi"/>
          <w:sz w:val="24"/>
          <w:szCs w:val="24"/>
        </w:rPr>
        <w:t>.</w:t>
      </w:r>
    </w:p>
    <w:p w14:paraId="0AE3EC00" w14:textId="7A6CE0EA" w:rsidR="00CF75C8" w:rsidRPr="00062B0E" w:rsidRDefault="008B683F" w:rsidP="00062B0E">
      <w:pPr>
        <w:spacing w:line="360" w:lineRule="auto"/>
        <w:jc w:val="both"/>
        <w:rPr>
          <w:rFonts w:asciiTheme="majorBidi" w:hAnsiTheme="majorBidi" w:cstheme="majorBidi"/>
          <w:sz w:val="24"/>
          <w:szCs w:val="24"/>
        </w:rPr>
      </w:pPr>
      <w:r w:rsidRPr="00062B0E">
        <w:rPr>
          <w:rFonts w:asciiTheme="majorBidi" w:hAnsiTheme="majorBidi" w:cstheme="majorBidi"/>
          <w:sz w:val="24"/>
          <w:szCs w:val="24"/>
        </w:rPr>
        <w:t xml:space="preserve">The next </w:t>
      </w:r>
      <w:r w:rsidR="005D3143" w:rsidRPr="00062B0E">
        <w:rPr>
          <w:rFonts w:asciiTheme="majorBidi" w:hAnsiTheme="majorBidi" w:cstheme="majorBidi"/>
          <w:sz w:val="24"/>
          <w:szCs w:val="24"/>
        </w:rPr>
        <w:t>speaker</w:t>
      </w:r>
      <w:r w:rsidR="00BB7FA3">
        <w:rPr>
          <w:rFonts w:asciiTheme="majorBidi" w:hAnsiTheme="majorBidi" w:cstheme="majorBidi"/>
          <w:sz w:val="24"/>
          <w:szCs w:val="24"/>
        </w:rPr>
        <w:t xml:space="preserve"> in Session 3</w:t>
      </w:r>
      <w:r w:rsidR="005D3143" w:rsidRPr="00062B0E">
        <w:rPr>
          <w:rFonts w:asciiTheme="majorBidi" w:hAnsiTheme="majorBidi" w:cstheme="majorBidi"/>
          <w:sz w:val="24"/>
          <w:szCs w:val="24"/>
        </w:rPr>
        <w:t xml:space="preserve"> was</w:t>
      </w:r>
      <w:r w:rsidRPr="00062B0E">
        <w:rPr>
          <w:rFonts w:asciiTheme="majorBidi" w:hAnsiTheme="majorBidi" w:cstheme="majorBidi"/>
          <w:sz w:val="24"/>
          <w:szCs w:val="24"/>
        </w:rPr>
        <w:t xml:space="preserve"> </w:t>
      </w:r>
      <w:r w:rsidRPr="00ED6734">
        <w:rPr>
          <w:rFonts w:asciiTheme="majorBidi" w:hAnsiTheme="majorBidi" w:cstheme="majorBidi"/>
          <w:b/>
          <w:bCs/>
          <w:sz w:val="24"/>
          <w:szCs w:val="24"/>
        </w:rPr>
        <w:t>Tilly Clough</w:t>
      </w:r>
      <w:r w:rsidRPr="00062B0E">
        <w:rPr>
          <w:rFonts w:asciiTheme="majorBidi" w:hAnsiTheme="majorBidi" w:cstheme="majorBidi"/>
          <w:sz w:val="24"/>
          <w:szCs w:val="24"/>
        </w:rPr>
        <w:t xml:space="preserve">, </w:t>
      </w:r>
      <w:r w:rsidR="00800D00" w:rsidRPr="00062B0E">
        <w:rPr>
          <w:rFonts w:asciiTheme="majorBidi" w:hAnsiTheme="majorBidi" w:cstheme="majorBidi"/>
          <w:sz w:val="24"/>
          <w:szCs w:val="24"/>
        </w:rPr>
        <w:t xml:space="preserve">who explored the regulation </w:t>
      </w:r>
      <w:r w:rsidR="005D3143" w:rsidRPr="00062B0E">
        <w:rPr>
          <w:rFonts w:asciiTheme="majorBidi" w:hAnsiTheme="majorBidi" w:cstheme="majorBidi"/>
          <w:sz w:val="24"/>
          <w:szCs w:val="24"/>
        </w:rPr>
        <w:t xml:space="preserve">through the lens of charities. Her presentation, </w:t>
      </w:r>
      <w:r w:rsidR="005D3143" w:rsidRPr="00062B0E">
        <w:rPr>
          <w:rFonts w:asciiTheme="majorBidi" w:hAnsiTheme="majorBidi" w:cstheme="majorBidi"/>
          <w:b/>
          <w:bCs/>
          <w:sz w:val="24"/>
          <w:szCs w:val="24"/>
        </w:rPr>
        <w:t>Charitable Businesses: Lessons Learnt from the History of the Charity Commission for England and Wales</w:t>
      </w:r>
      <w:r w:rsidR="005D3143" w:rsidRPr="00062B0E">
        <w:rPr>
          <w:rFonts w:asciiTheme="majorBidi" w:hAnsiTheme="majorBidi" w:cstheme="majorBidi"/>
          <w:sz w:val="24"/>
          <w:szCs w:val="24"/>
        </w:rPr>
        <w:t>, noted that the governance of charitable businesses in England and Wales focuses on two key actors. These are (i) charitable trustees of individual charities and (ii) the external charity regulator (i.e., the Charity Commission for England and Wales). Although b</w:t>
      </w:r>
      <w:r w:rsidRPr="00062B0E">
        <w:rPr>
          <w:rFonts w:asciiTheme="majorBidi" w:hAnsiTheme="majorBidi" w:cstheme="majorBidi"/>
          <w:sz w:val="24"/>
          <w:szCs w:val="24"/>
        </w:rPr>
        <w:t xml:space="preserve">oth </w:t>
      </w:r>
      <w:r w:rsidR="005D3143" w:rsidRPr="00062B0E">
        <w:rPr>
          <w:rFonts w:asciiTheme="majorBidi" w:hAnsiTheme="majorBidi" w:cstheme="majorBidi"/>
          <w:sz w:val="24"/>
          <w:szCs w:val="24"/>
        </w:rPr>
        <w:t xml:space="preserve">sets of actors are critical in </w:t>
      </w:r>
      <w:r w:rsidRPr="00062B0E">
        <w:rPr>
          <w:rFonts w:asciiTheme="majorBidi" w:hAnsiTheme="majorBidi" w:cstheme="majorBidi"/>
          <w:sz w:val="24"/>
          <w:szCs w:val="24"/>
        </w:rPr>
        <w:t>keeping charities</w:t>
      </w:r>
      <w:r w:rsidR="005D3143" w:rsidRPr="00062B0E">
        <w:rPr>
          <w:rFonts w:asciiTheme="majorBidi" w:hAnsiTheme="majorBidi" w:cstheme="majorBidi"/>
          <w:sz w:val="24"/>
          <w:szCs w:val="24"/>
        </w:rPr>
        <w:t xml:space="preserve"> </w:t>
      </w:r>
      <w:r w:rsidRPr="00062B0E">
        <w:rPr>
          <w:rFonts w:asciiTheme="majorBidi" w:hAnsiTheme="majorBidi" w:cstheme="majorBidi"/>
          <w:sz w:val="24"/>
          <w:szCs w:val="24"/>
        </w:rPr>
        <w:t>effective and accountable</w:t>
      </w:r>
      <w:r w:rsidR="005D3143" w:rsidRPr="00062B0E">
        <w:rPr>
          <w:rFonts w:asciiTheme="majorBidi" w:hAnsiTheme="majorBidi" w:cstheme="majorBidi"/>
          <w:sz w:val="24"/>
          <w:szCs w:val="24"/>
        </w:rPr>
        <w:t xml:space="preserve">, her paper </w:t>
      </w:r>
      <w:r w:rsidRPr="00062B0E">
        <w:rPr>
          <w:rFonts w:asciiTheme="majorBidi" w:hAnsiTheme="majorBidi" w:cstheme="majorBidi"/>
          <w:sz w:val="24"/>
          <w:szCs w:val="24"/>
        </w:rPr>
        <w:t>focus</w:t>
      </w:r>
      <w:r w:rsidR="005D3143" w:rsidRPr="00062B0E">
        <w:rPr>
          <w:rFonts w:asciiTheme="majorBidi" w:hAnsiTheme="majorBidi" w:cstheme="majorBidi"/>
          <w:sz w:val="24"/>
          <w:szCs w:val="24"/>
        </w:rPr>
        <w:t>ed</w:t>
      </w:r>
      <w:r w:rsidRPr="00062B0E">
        <w:rPr>
          <w:rFonts w:asciiTheme="majorBidi" w:hAnsiTheme="majorBidi" w:cstheme="majorBidi"/>
          <w:sz w:val="24"/>
          <w:szCs w:val="24"/>
        </w:rPr>
        <w:t xml:space="preserve"> on the </w:t>
      </w:r>
      <w:r w:rsidR="005D3143" w:rsidRPr="00062B0E">
        <w:rPr>
          <w:rFonts w:asciiTheme="majorBidi" w:hAnsiTheme="majorBidi" w:cstheme="majorBidi"/>
          <w:sz w:val="24"/>
          <w:szCs w:val="24"/>
        </w:rPr>
        <w:t xml:space="preserve">external charity regulator, exploring its </w:t>
      </w:r>
      <w:r w:rsidRPr="00062B0E">
        <w:rPr>
          <w:rFonts w:asciiTheme="majorBidi" w:hAnsiTheme="majorBidi" w:cstheme="majorBidi"/>
          <w:sz w:val="24"/>
          <w:szCs w:val="24"/>
        </w:rPr>
        <w:t>role</w:t>
      </w:r>
      <w:r w:rsidR="005D3143" w:rsidRPr="00062B0E">
        <w:rPr>
          <w:rFonts w:asciiTheme="majorBidi" w:hAnsiTheme="majorBidi" w:cstheme="majorBidi"/>
          <w:sz w:val="24"/>
          <w:szCs w:val="24"/>
        </w:rPr>
        <w:t xml:space="preserve"> </w:t>
      </w:r>
      <w:r w:rsidRPr="00062B0E">
        <w:rPr>
          <w:rFonts w:asciiTheme="majorBidi" w:hAnsiTheme="majorBidi" w:cstheme="majorBidi"/>
          <w:sz w:val="24"/>
          <w:szCs w:val="24"/>
        </w:rPr>
        <w:t>throughout history</w:t>
      </w:r>
      <w:r w:rsidR="005D3143" w:rsidRPr="00062B0E">
        <w:rPr>
          <w:rFonts w:asciiTheme="majorBidi" w:hAnsiTheme="majorBidi" w:cstheme="majorBidi"/>
          <w:sz w:val="24"/>
          <w:szCs w:val="24"/>
        </w:rPr>
        <w:t xml:space="preserve"> from a comparative perspective. </w:t>
      </w:r>
      <w:r w:rsidR="00882BF6">
        <w:rPr>
          <w:rFonts w:asciiTheme="majorBidi" w:hAnsiTheme="majorBidi" w:cstheme="majorBidi"/>
          <w:sz w:val="24"/>
          <w:szCs w:val="24"/>
        </w:rPr>
        <w:t>A</w:t>
      </w:r>
      <w:r w:rsidR="005D3143" w:rsidRPr="00062B0E">
        <w:rPr>
          <w:rFonts w:asciiTheme="majorBidi" w:hAnsiTheme="majorBidi" w:cstheme="majorBidi"/>
          <w:sz w:val="24"/>
          <w:szCs w:val="24"/>
        </w:rPr>
        <w:t xml:space="preserve">lthough the external charity regulator’s role has differed </w:t>
      </w:r>
      <w:r w:rsidR="00102770" w:rsidRPr="00062B0E">
        <w:rPr>
          <w:rFonts w:asciiTheme="majorBidi" w:hAnsiTheme="majorBidi" w:cstheme="majorBidi"/>
          <w:sz w:val="24"/>
          <w:szCs w:val="24"/>
        </w:rPr>
        <w:t xml:space="preserve">historically </w:t>
      </w:r>
      <w:r w:rsidR="005D3143" w:rsidRPr="00062B0E">
        <w:rPr>
          <w:rFonts w:asciiTheme="majorBidi" w:hAnsiTheme="majorBidi" w:cstheme="majorBidi"/>
          <w:sz w:val="24"/>
          <w:szCs w:val="24"/>
        </w:rPr>
        <w:t>across a range of jurisdictions, fundamental similarities exist in that the regulators hold significant powers of oversight and</w:t>
      </w:r>
      <w:r w:rsidR="00F56390" w:rsidRPr="00062B0E">
        <w:rPr>
          <w:rFonts w:asciiTheme="majorBidi" w:hAnsiTheme="majorBidi" w:cstheme="majorBidi"/>
          <w:sz w:val="24"/>
          <w:szCs w:val="24"/>
        </w:rPr>
        <w:t xml:space="preserve"> </w:t>
      </w:r>
      <w:r w:rsidR="005D3143" w:rsidRPr="00062B0E">
        <w:rPr>
          <w:rFonts w:asciiTheme="majorBidi" w:hAnsiTheme="majorBidi" w:cstheme="majorBidi"/>
          <w:sz w:val="24"/>
          <w:szCs w:val="24"/>
        </w:rPr>
        <w:t>supervision of charities.</w:t>
      </w:r>
      <w:r w:rsidR="00503E86" w:rsidRPr="00062B0E">
        <w:rPr>
          <w:rFonts w:asciiTheme="majorBidi" w:hAnsiTheme="majorBidi" w:cstheme="majorBidi"/>
          <w:sz w:val="24"/>
          <w:szCs w:val="24"/>
        </w:rPr>
        <w:t xml:space="preserve"> Th</w:t>
      </w:r>
      <w:r w:rsidR="00EB6D48">
        <w:rPr>
          <w:rFonts w:asciiTheme="majorBidi" w:hAnsiTheme="majorBidi" w:cstheme="majorBidi"/>
          <w:sz w:val="24"/>
          <w:szCs w:val="24"/>
        </w:rPr>
        <w:t>e</w:t>
      </w:r>
      <w:r w:rsidR="00503E86" w:rsidRPr="00062B0E">
        <w:rPr>
          <w:rFonts w:asciiTheme="majorBidi" w:hAnsiTheme="majorBidi" w:cstheme="majorBidi"/>
          <w:sz w:val="24"/>
          <w:szCs w:val="24"/>
        </w:rPr>
        <w:t xml:space="preserve"> presentation provided a case study of the historical role of the Charity Commission for England and Wales, using external regulators in other jurisdictions as a point of comparison</w:t>
      </w:r>
      <w:r w:rsidR="00F56390" w:rsidRPr="00062B0E">
        <w:rPr>
          <w:rFonts w:asciiTheme="majorBidi" w:hAnsiTheme="majorBidi" w:cstheme="majorBidi"/>
          <w:sz w:val="24"/>
          <w:szCs w:val="24"/>
        </w:rPr>
        <w:t>.</w:t>
      </w:r>
    </w:p>
    <w:p w14:paraId="60E739FE" w14:textId="24250424" w:rsidR="00F95299" w:rsidRPr="00062B0E" w:rsidRDefault="00F95299" w:rsidP="00062B0E">
      <w:pPr>
        <w:spacing w:line="360" w:lineRule="auto"/>
        <w:jc w:val="both"/>
        <w:rPr>
          <w:rFonts w:asciiTheme="majorBidi" w:hAnsiTheme="majorBidi" w:cstheme="majorBidi"/>
          <w:sz w:val="24"/>
          <w:szCs w:val="24"/>
        </w:rPr>
      </w:pPr>
      <w:r w:rsidRPr="00315E69">
        <w:rPr>
          <w:rFonts w:asciiTheme="majorBidi" w:hAnsiTheme="majorBidi" w:cstheme="majorBidi"/>
          <w:b/>
          <w:bCs/>
          <w:sz w:val="24"/>
          <w:szCs w:val="24"/>
        </w:rPr>
        <w:t xml:space="preserve">Dr Jenifer </w:t>
      </w:r>
      <w:proofErr w:type="spellStart"/>
      <w:r w:rsidRPr="00315E69">
        <w:rPr>
          <w:rFonts w:asciiTheme="majorBidi" w:hAnsiTheme="majorBidi" w:cstheme="majorBidi"/>
          <w:b/>
          <w:bCs/>
          <w:sz w:val="24"/>
          <w:szCs w:val="24"/>
        </w:rPr>
        <w:t>Varzaly</w:t>
      </w:r>
      <w:proofErr w:type="spellEnd"/>
      <w:r w:rsidRPr="00062B0E">
        <w:rPr>
          <w:rFonts w:asciiTheme="majorBidi" w:hAnsiTheme="majorBidi" w:cstheme="majorBidi"/>
          <w:b/>
          <w:bCs/>
          <w:sz w:val="24"/>
          <w:szCs w:val="24"/>
        </w:rPr>
        <w:t xml:space="preserve"> </w:t>
      </w:r>
      <w:r w:rsidRPr="00062B0E">
        <w:rPr>
          <w:rFonts w:asciiTheme="majorBidi" w:hAnsiTheme="majorBidi" w:cstheme="majorBidi"/>
          <w:sz w:val="24"/>
          <w:szCs w:val="24"/>
        </w:rPr>
        <w:t>continued</w:t>
      </w:r>
      <w:r w:rsidRPr="00062B0E">
        <w:rPr>
          <w:rFonts w:asciiTheme="majorBidi" w:hAnsiTheme="majorBidi" w:cstheme="majorBidi"/>
          <w:b/>
          <w:bCs/>
          <w:sz w:val="24"/>
          <w:szCs w:val="24"/>
        </w:rPr>
        <w:t xml:space="preserve"> </w:t>
      </w:r>
      <w:r w:rsidRPr="00062B0E">
        <w:rPr>
          <w:rFonts w:asciiTheme="majorBidi" w:hAnsiTheme="majorBidi" w:cstheme="majorBidi"/>
          <w:sz w:val="24"/>
          <w:szCs w:val="24"/>
        </w:rPr>
        <w:t>the regulatory theme with her presentation,</w:t>
      </w:r>
      <w:r w:rsidRPr="00062B0E">
        <w:rPr>
          <w:rFonts w:asciiTheme="majorBidi" w:hAnsiTheme="majorBidi" w:cstheme="majorBidi"/>
          <w:b/>
          <w:bCs/>
          <w:sz w:val="24"/>
          <w:szCs w:val="24"/>
        </w:rPr>
        <w:t xml:space="preserve"> </w:t>
      </w:r>
      <w:r w:rsidR="00F56390" w:rsidRPr="00062B0E">
        <w:rPr>
          <w:rFonts w:asciiTheme="majorBidi" w:hAnsiTheme="majorBidi" w:cstheme="majorBidi"/>
          <w:b/>
          <w:bCs/>
          <w:sz w:val="24"/>
          <w:szCs w:val="24"/>
        </w:rPr>
        <w:t>Evaluating ASIC Enforcement: Evidence and Implications</w:t>
      </w:r>
      <w:r w:rsidRPr="00062B0E">
        <w:rPr>
          <w:rFonts w:asciiTheme="majorBidi" w:hAnsiTheme="majorBidi" w:cstheme="majorBidi"/>
          <w:sz w:val="24"/>
          <w:szCs w:val="24"/>
        </w:rPr>
        <w:t>, which examined</w:t>
      </w:r>
      <w:r w:rsidR="00F56390" w:rsidRPr="00062B0E">
        <w:rPr>
          <w:rFonts w:asciiTheme="majorBidi" w:hAnsiTheme="majorBidi" w:cstheme="majorBidi"/>
          <w:sz w:val="24"/>
          <w:szCs w:val="24"/>
        </w:rPr>
        <w:t xml:space="preserve"> private enforcement actions</w:t>
      </w:r>
      <w:r w:rsidRPr="00062B0E">
        <w:rPr>
          <w:rFonts w:asciiTheme="majorBidi" w:hAnsiTheme="majorBidi" w:cstheme="majorBidi"/>
          <w:sz w:val="24"/>
          <w:szCs w:val="24"/>
        </w:rPr>
        <w:t xml:space="preserve"> </w:t>
      </w:r>
      <w:r w:rsidR="00F56390" w:rsidRPr="00062B0E">
        <w:rPr>
          <w:rFonts w:asciiTheme="majorBidi" w:hAnsiTheme="majorBidi" w:cstheme="majorBidi"/>
          <w:sz w:val="24"/>
          <w:szCs w:val="24"/>
        </w:rPr>
        <w:t>by Australia's business conduct</w:t>
      </w:r>
      <w:r w:rsidRPr="00062B0E">
        <w:rPr>
          <w:rFonts w:asciiTheme="majorBidi" w:hAnsiTheme="majorBidi" w:cstheme="majorBidi"/>
          <w:sz w:val="24"/>
          <w:szCs w:val="24"/>
        </w:rPr>
        <w:t xml:space="preserve"> </w:t>
      </w:r>
      <w:r w:rsidR="00F56390" w:rsidRPr="00062B0E">
        <w:rPr>
          <w:rFonts w:asciiTheme="majorBidi" w:hAnsiTheme="majorBidi" w:cstheme="majorBidi"/>
          <w:sz w:val="24"/>
          <w:szCs w:val="24"/>
        </w:rPr>
        <w:t xml:space="preserve">regulator, </w:t>
      </w:r>
      <w:r w:rsidR="000055FA" w:rsidRPr="00062B0E">
        <w:rPr>
          <w:rFonts w:asciiTheme="majorBidi" w:hAnsiTheme="majorBidi" w:cstheme="majorBidi"/>
          <w:sz w:val="24"/>
          <w:szCs w:val="24"/>
        </w:rPr>
        <w:t xml:space="preserve">Australian </w:t>
      </w:r>
      <w:proofErr w:type="gramStart"/>
      <w:r w:rsidR="000055FA" w:rsidRPr="00062B0E">
        <w:rPr>
          <w:rFonts w:asciiTheme="majorBidi" w:hAnsiTheme="majorBidi" w:cstheme="majorBidi"/>
          <w:sz w:val="24"/>
          <w:szCs w:val="24"/>
        </w:rPr>
        <w:t>Securities</w:t>
      </w:r>
      <w:proofErr w:type="gramEnd"/>
      <w:r w:rsidR="000055FA" w:rsidRPr="00062B0E">
        <w:rPr>
          <w:rFonts w:asciiTheme="majorBidi" w:hAnsiTheme="majorBidi" w:cstheme="majorBidi"/>
          <w:sz w:val="24"/>
          <w:szCs w:val="24"/>
        </w:rPr>
        <w:t xml:space="preserve"> and Investments Commission </w:t>
      </w:r>
      <w:r w:rsidR="00F56390" w:rsidRPr="00062B0E">
        <w:rPr>
          <w:rFonts w:asciiTheme="majorBidi" w:hAnsiTheme="majorBidi" w:cstheme="majorBidi"/>
          <w:sz w:val="24"/>
          <w:szCs w:val="24"/>
        </w:rPr>
        <w:t>(</w:t>
      </w:r>
      <w:r w:rsidR="000055FA" w:rsidRPr="00062B0E">
        <w:rPr>
          <w:rFonts w:asciiTheme="majorBidi" w:hAnsiTheme="majorBidi" w:cstheme="majorBidi"/>
          <w:sz w:val="24"/>
          <w:szCs w:val="24"/>
        </w:rPr>
        <w:t>ASIC</w:t>
      </w:r>
      <w:r w:rsidR="00F56390" w:rsidRPr="00062B0E">
        <w:rPr>
          <w:rFonts w:asciiTheme="majorBidi" w:hAnsiTheme="majorBidi" w:cstheme="majorBidi"/>
          <w:sz w:val="24"/>
          <w:szCs w:val="24"/>
        </w:rPr>
        <w:t>)</w:t>
      </w:r>
      <w:r w:rsidRPr="00062B0E">
        <w:rPr>
          <w:rFonts w:asciiTheme="majorBidi" w:hAnsiTheme="majorBidi" w:cstheme="majorBidi"/>
          <w:sz w:val="24"/>
          <w:szCs w:val="24"/>
        </w:rPr>
        <w:t xml:space="preserve">. </w:t>
      </w:r>
      <w:r w:rsidR="00F56390" w:rsidRPr="00062B0E">
        <w:rPr>
          <w:rFonts w:asciiTheme="majorBidi" w:hAnsiTheme="majorBidi" w:cstheme="majorBidi"/>
          <w:sz w:val="24"/>
          <w:szCs w:val="24"/>
        </w:rPr>
        <w:t xml:space="preserve"> </w:t>
      </w:r>
      <w:r w:rsidR="00F1366B">
        <w:rPr>
          <w:rFonts w:asciiTheme="majorBidi" w:hAnsiTheme="majorBidi" w:cstheme="majorBidi"/>
          <w:sz w:val="24"/>
          <w:szCs w:val="24"/>
        </w:rPr>
        <w:t xml:space="preserve">The </w:t>
      </w:r>
      <w:r w:rsidR="00F56390" w:rsidRPr="00062B0E">
        <w:rPr>
          <w:rFonts w:asciiTheme="majorBidi" w:hAnsiTheme="majorBidi" w:cstheme="majorBidi"/>
          <w:sz w:val="24"/>
          <w:szCs w:val="24"/>
        </w:rPr>
        <w:t xml:space="preserve">research </w:t>
      </w:r>
      <w:r w:rsidRPr="00062B0E">
        <w:rPr>
          <w:rFonts w:asciiTheme="majorBidi" w:hAnsiTheme="majorBidi" w:cstheme="majorBidi"/>
          <w:sz w:val="24"/>
          <w:szCs w:val="24"/>
        </w:rPr>
        <w:t>project</w:t>
      </w:r>
      <w:r w:rsidR="00F1366B">
        <w:rPr>
          <w:rFonts w:asciiTheme="majorBidi" w:hAnsiTheme="majorBidi" w:cstheme="majorBidi"/>
          <w:sz w:val="24"/>
          <w:szCs w:val="24"/>
        </w:rPr>
        <w:t>, on which her presentation was based,</w:t>
      </w:r>
      <w:r w:rsidRPr="00062B0E">
        <w:rPr>
          <w:rFonts w:asciiTheme="majorBidi" w:hAnsiTheme="majorBidi" w:cstheme="majorBidi"/>
          <w:sz w:val="24"/>
          <w:szCs w:val="24"/>
        </w:rPr>
        <w:t xml:space="preserve"> focuses on directors’ duty and disclosure law breaches and </w:t>
      </w:r>
      <w:r w:rsidR="00F56390" w:rsidRPr="00062B0E">
        <w:rPr>
          <w:rFonts w:asciiTheme="majorBidi" w:hAnsiTheme="majorBidi" w:cstheme="majorBidi"/>
          <w:sz w:val="24"/>
          <w:szCs w:val="24"/>
        </w:rPr>
        <w:t>comprises a significant empirical</w:t>
      </w:r>
      <w:r w:rsidRPr="00062B0E">
        <w:rPr>
          <w:rFonts w:asciiTheme="majorBidi" w:hAnsiTheme="majorBidi" w:cstheme="majorBidi"/>
          <w:sz w:val="24"/>
          <w:szCs w:val="24"/>
        </w:rPr>
        <w:t xml:space="preserve"> </w:t>
      </w:r>
      <w:r w:rsidR="00F56390" w:rsidRPr="00062B0E">
        <w:rPr>
          <w:rFonts w:asciiTheme="majorBidi" w:hAnsiTheme="majorBidi" w:cstheme="majorBidi"/>
          <w:sz w:val="24"/>
          <w:szCs w:val="24"/>
        </w:rPr>
        <w:t xml:space="preserve">dataset including a comprehensive ASIC resource analysis over a 19-year period. </w:t>
      </w:r>
    </w:p>
    <w:p w14:paraId="728B1911" w14:textId="7D5D72CA" w:rsidR="00F56390" w:rsidRPr="00062B0E" w:rsidRDefault="00414BD5" w:rsidP="00062B0E">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Dr </w:t>
      </w:r>
      <w:proofErr w:type="spellStart"/>
      <w:r>
        <w:rPr>
          <w:rFonts w:asciiTheme="majorBidi" w:hAnsiTheme="majorBidi" w:cstheme="majorBidi"/>
          <w:sz w:val="24"/>
          <w:szCs w:val="24"/>
        </w:rPr>
        <w:t>Varzaly</w:t>
      </w:r>
      <w:proofErr w:type="spellEnd"/>
      <w:r>
        <w:rPr>
          <w:rFonts w:asciiTheme="majorBidi" w:hAnsiTheme="majorBidi" w:cstheme="majorBidi"/>
          <w:sz w:val="24"/>
          <w:szCs w:val="24"/>
        </w:rPr>
        <w:t xml:space="preserve"> </w:t>
      </w:r>
      <w:r w:rsidR="00F95299" w:rsidRPr="00062B0E">
        <w:rPr>
          <w:rFonts w:asciiTheme="majorBidi" w:hAnsiTheme="majorBidi" w:cstheme="majorBidi"/>
          <w:sz w:val="24"/>
          <w:szCs w:val="24"/>
        </w:rPr>
        <w:t xml:space="preserve">noted that there are </w:t>
      </w:r>
      <w:r w:rsidR="00F56390" w:rsidRPr="00062B0E">
        <w:rPr>
          <w:rFonts w:asciiTheme="majorBidi" w:hAnsiTheme="majorBidi" w:cstheme="majorBidi"/>
          <w:sz w:val="24"/>
          <w:szCs w:val="24"/>
        </w:rPr>
        <w:t>three</w:t>
      </w:r>
      <w:r w:rsidR="00F95299" w:rsidRPr="00062B0E">
        <w:rPr>
          <w:rFonts w:asciiTheme="majorBidi" w:hAnsiTheme="majorBidi" w:cstheme="majorBidi"/>
          <w:sz w:val="24"/>
          <w:szCs w:val="24"/>
        </w:rPr>
        <w:t xml:space="preserve"> </w:t>
      </w:r>
      <w:r w:rsidR="00F56390" w:rsidRPr="00062B0E">
        <w:rPr>
          <w:rFonts w:asciiTheme="majorBidi" w:hAnsiTheme="majorBidi" w:cstheme="majorBidi"/>
          <w:sz w:val="24"/>
          <w:szCs w:val="24"/>
        </w:rPr>
        <w:t xml:space="preserve">key overarching contributions from </w:t>
      </w:r>
      <w:r w:rsidR="00F95299" w:rsidRPr="00062B0E">
        <w:rPr>
          <w:rFonts w:asciiTheme="majorBidi" w:hAnsiTheme="majorBidi" w:cstheme="majorBidi"/>
          <w:sz w:val="24"/>
          <w:szCs w:val="24"/>
        </w:rPr>
        <w:t xml:space="preserve">her </w:t>
      </w:r>
      <w:r w:rsidR="00F56390" w:rsidRPr="00062B0E">
        <w:rPr>
          <w:rFonts w:asciiTheme="majorBidi" w:hAnsiTheme="majorBidi" w:cstheme="majorBidi"/>
          <w:sz w:val="24"/>
          <w:szCs w:val="24"/>
        </w:rPr>
        <w:t>research</w:t>
      </w:r>
      <w:r w:rsidR="00F95299" w:rsidRPr="00062B0E">
        <w:rPr>
          <w:rFonts w:asciiTheme="majorBidi" w:hAnsiTheme="majorBidi" w:cstheme="majorBidi"/>
          <w:sz w:val="24"/>
          <w:szCs w:val="24"/>
        </w:rPr>
        <w:t xml:space="preserve">. The first of these is </w:t>
      </w:r>
      <w:r w:rsidR="00F56390" w:rsidRPr="00062B0E">
        <w:rPr>
          <w:rFonts w:asciiTheme="majorBidi" w:hAnsiTheme="majorBidi" w:cstheme="majorBidi"/>
          <w:sz w:val="24"/>
          <w:szCs w:val="24"/>
        </w:rPr>
        <w:t>comprehensive</w:t>
      </w:r>
      <w:r w:rsidR="00F95299" w:rsidRPr="00062B0E">
        <w:rPr>
          <w:rFonts w:asciiTheme="majorBidi" w:hAnsiTheme="majorBidi" w:cstheme="majorBidi"/>
          <w:sz w:val="24"/>
          <w:szCs w:val="24"/>
        </w:rPr>
        <w:t xml:space="preserve"> </w:t>
      </w:r>
      <w:r w:rsidR="00F56390" w:rsidRPr="00062B0E">
        <w:rPr>
          <w:rFonts w:asciiTheme="majorBidi" w:hAnsiTheme="majorBidi" w:cstheme="majorBidi"/>
          <w:sz w:val="24"/>
          <w:szCs w:val="24"/>
        </w:rPr>
        <w:t xml:space="preserve">description of the </w:t>
      </w:r>
      <w:r w:rsidR="00F95299" w:rsidRPr="00062B0E">
        <w:rPr>
          <w:rFonts w:asciiTheme="majorBidi" w:hAnsiTheme="majorBidi" w:cstheme="majorBidi"/>
          <w:sz w:val="24"/>
          <w:szCs w:val="24"/>
        </w:rPr>
        <w:t xml:space="preserve">Australian </w:t>
      </w:r>
      <w:r w:rsidR="00F56390" w:rsidRPr="00062B0E">
        <w:rPr>
          <w:rFonts w:asciiTheme="majorBidi" w:hAnsiTheme="majorBidi" w:cstheme="majorBidi"/>
          <w:sz w:val="24"/>
          <w:szCs w:val="24"/>
        </w:rPr>
        <w:t>enforcement landscape, showing the topographical significance of both</w:t>
      </w:r>
      <w:r w:rsidR="00F95299" w:rsidRPr="00062B0E">
        <w:rPr>
          <w:rFonts w:asciiTheme="majorBidi" w:hAnsiTheme="majorBidi" w:cstheme="majorBidi"/>
          <w:sz w:val="24"/>
          <w:szCs w:val="24"/>
        </w:rPr>
        <w:t xml:space="preserve"> </w:t>
      </w:r>
      <w:r w:rsidR="00F56390" w:rsidRPr="00062B0E">
        <w:rPr>
          <w:rFonts w:asciiTheme="majorBidi" w:hAnsiTheme="majorBidi" w:cstheme="majorBidi"/>
          <w:sz w:val="24"/>
          <w:szCs w:val="24"/>
        </w:rPr>
        <w:t>public and private enforcement modalities</w:t>
      </w:r>
      <w:r w:rsidR="00F95299" w:rsidRPr="00062B0E">
        <w:rPr>
          <w:rFonts w:asciiTheme="majorBidi" w:hAnsiTheme="majorBidi" w:cstheme="majorBidi"/>
          <w:sz w:val="24"/>
          <w:szCs w:val="24"/>
        </w:rPr>
        <w:t>, which is lacking in most research on the topic of enforcement. Secondly</w:t>
      </w:r>
      <w:r w:rsidR="00620B65" w:rsidRPr="00062B0E">
        <w:rPr>
          <w:rFonts w:asciiTheme="majorBidi" w:hAnsiTheme="majorBidi" w:cstheme="majorBidi"/>
          <w:sz w:val="24"/>
          <w:szCs w:val="24"/>
        </w:rPr>
        <w:t xml:space="preserve">, her research provides a </w:t>
      </w:r>
      <w:r w:rsidR="00F56390" w:rsidRPr="00062B0E">
        <w:rPr>
          <w:rFonts w:asciiTheme="majorBidi" w:hAnsiTheme="majorBidi" w:cstheme="majorBidi"/>
          <w:sz w:val="24"/>
          <w:szCs w:val="24"/>
        </w:rPr>
        <w:t>theory-based explanation for the contours of</w:t>
      </w:r>
      <w:r w:rsidR="00620B65" w:rsidRPr="00062B0E">
        <w:rPr>
          <w:rFonts w:asciiTheme="majorBidi" w:hAnsiTheme="majorBidi" w:cstheme="majorBidi"/>
          <w:sz w:val="24"/>
          <w:szCs w:val="24"/>
        </w:rPr>
        <w:t xml:space="preserve"> t</w:t>
      </w:r>
      <w:r w:rsidR="00F56390" w:rsidRPr="00062B0E">
        <w:rPr>
          <w:rFonts w:asciiTheme="majorBidi" w:hAnsiTheme="majorBidi" w:cstheme="majorBidi"/>
          <w:sz w:val="24"/>
          <w:szCs w:val="24"/>
        </w:rPr>
        <w:t>h</w:t>
      </w:r>
      <w:r w:rsidR="00620B65" w:rsidRPr="00062B0E">
        <w:rPr>
          <w:rFonts w:asciiTheme="majorBidi" w:hAnsiTheme="majorBidi" w:cstheme="majorBidi"/>
          <w:sz w:val="24"/>
          <w:szCs w:val="24"/>
        </w:rPr>
        <w:t xml:space="preserve">is </w:t>
      </w:r>
      <w:r w:rsidR="00510143" w:rsidRPr="00062B0E">
        <w:rPr>
          <w:rFonts w:asciiTheme="majorBidi" w:hAnsiTheme="majorBidi" w:cstheme="majorBidi"/>
          <w:sz w:val="24"/>
          <w:szCs w:val="24"/>
        </w:rPr>
        <w:t>enforcement landscape</w:t>
      </w:r>
      <w:r w:rsidR="00F56390" w:rsidRPr="00062B0E">
        <w:rPr>
          <w:rFonts w:asciiTheme="majorBidi" w:hAnsiTheme="majorBidi" w:cstheme="majorBidi"/>
          <w:sz w:val="24"/>
          <w:szCs w:val="24"/>
        </w:rPr>
        <w:t xml:space="preserve"> and its trajectory</w:t>
      </w:r>
      <w:r w:rsidR="00620B65" w:rsidRPr="00062B0E">
        <w:rPr>
          <w:rFonts w:asciiTheme="majorBidi" w:hAnsiTheme="majorBidi" w:cstheme="majorBidi"/>
          <w:sz w:val="24"/>
          <w:szCs w:val="24"/>
        </w:rPr>
        <w:t xml:space="preserve">. Finally, the project </w:t>
      </w:r>
      <w:r w:rsidR="00C8776D">
        <w:rPr>
          <w:rFonts w:asciiTheme="majorBidi" w:hAnsiTheme="majorBidi" w:cstheme="majorBidi"/>
          <w:sz w:val="24"/>
          <w:szCs w:val="24"/>
        </w:rPr>
        <w:lastRenderedPageBreak/>
        <w:t xml:space="preserve">offers </w:t>
      </w:r>
      <w:r w:rsidR="00620B65" w:rsidRPr="00062B0E">
        <w:rPr>
          <w:rFonts w:asciiTheme="majorBidi" w:hAnsiTheme="majorBidi" w:cstheme="majorBidi"/>
          <w:sz w:val="24"/>
          <w:szCs w:val="24"/>
        </w:rPr>
        <w:t xml:space="preserve">an </w:t>
      </w:r>
      <w:r w:rsidR="00F56390" w:rsidRPr="00062B0E">
        <w:rPr>
          <w:rFonts w:asciiTheme="majorBidi" w:hAnsiTheme="majorBidi" w:cstheme="majorBidi"/>
          <w:sz w:val="24"/>
          <w:szCs w:val="24"/>
        </w:rPr>
        <w:t>evaluation of the effectiveness of Australia’s</w:t>
      </w:r>
      <w:r w:rsidR="00620B65" w:rsidRPr="00062B0E">
        <w:rPr>
          <w:rFonts w:asciiTheme="majorBidi" w:hAnsiTheme="majorBidi" w:cstheme="majorBidi"/>
          <w:sz w:val="24"/>
          <w:szCs w:val="24"/>
        </w:rPr>
        <w:t xml:space="preserve"> </w:t>
      </w:r>
      <w:r w:rsidR="00F56390" w:rsidRPr="00062B0E">
        <w:rPr>
          <w:rFonts w:asciiTheme="majorBidi" w:hAnsiTheme="majorBidi" w:cstheme="majorBidi"/>
          <w:sz w:val="24"/>
          <w:szCs w:val="24"/>
        </w:rPr>
        <w:t xml:space="preserve">enforcement regime, </w:t>
      </w:r>
      <w:r w:rsidR="00620B65" w:rsidRPr="00062B0E">
        <w:rPr>
          <w:rFonts w:asciiTheme="majorBidi" w:hAnsiTheme="majorBidi" w:cstheme="majorBidi"/>
          <w:sz w:val="24"/>
          <w:szCs w:val="24"/>
        </w:rPr>
        <w:t xml:space="preserve">together with </w:t>
      </w:r>
      <w:r w:rsidR="00F56390" w:rsidRPr="00062B0E">
        <w:rPr>
          <w:rFonts w:asciiTheme="majorBidi" w:hAnsiTheme="majorBidi" w:cstheme="majorBidi"/>
          <w:sz w:val="24"/>
          <w:szCs w:val="24"/>
        </w:rPr>
        <w:t>international implications arising</w:t>
      </w:r>
      <w:r w:rsidR="00620B65" w:rsidRPr="00062B0E">
        <w:rPr>
          <w:rFonts w:asciiTheme="majorBidi" w:hAnsiTheme="majorBidi" w:cstheme="majorBidi"/>
          <w:sz w:val="24"/>
          <w:szCs w:val="24"/>
        </w:rPr>
        <w:t xml:space="preserve"> from it</w:t>
      </w:r>
      <w:r w:rsidR="00F56390" w:rsidRPr="00062B0E">
        <w:rPr>
          <w:rFonts w:asciiTheme="majorBidi" w:hAnsiTheme="majorBidi" w:cstheme="majorBidi"/>
          <w:sz w:val="24"/>
          <w:szCs w:val="24"/>
        </w:rPr>
        <w:t>.</w:t>
      </w:r>
    </w:p>
    <w:p w14:paraId="4AFB8C49" w14:textId="57B6C3A2" w:rsidR="00510143" w:rsidRPr="00062B0E" w:rsidRDefault="00620B65" w:rsidP="00882BF6">
      <w:pPr>
        <w:spacing w:line="360" w:lineRule="auto"/>
        <w:jc w:val="both"/>
        <w:rPr>
          <w:rFonts w:asciiTheme="majorBidi" w:hAnsiTheme="majorBidi" w:cstheme="majorBidi"/>
          <w:sz w:val="24"/>
          <w:szCs w:val="24"/>
        </w:rPr>
      </w:pPr>
      <w:r w:rsidRPr="00062B0E">
        <w:rPr>
          <w:rFonts w:asciiTheme="majorBidi" w:hAnsiTheme="majorBidi" w:cstheme="majorBidi"/>
          <w:sz w:val="24"/>
          <w:szCs w:val="24"/>
        </w:rPr>
        <w:t>In the final presentation of the</w:t>
      </w:r>
      <w:r w:rsidR="00510143" w:rsidRPr="00062B0E">
        <w:rPr>
          <w:rFonts w:asciiTheme="majorBidi" w:hAnsiTheme="majorBidi" w:cstheme="majorBidi"/>
          <w:sz w:val="24"/>
          <w:szCs w:val="24"/>
        </w:rPr>
        <w:t xml:space="preserve"> Workshop</w:t>
      </w:r>
      <w:r w:rsidRPr="00062B0E">
        <w:rPr>
          <w:rFonts w:asciiTheme="majorBidi" w:hAnsiTheme="majorBidi" w:cstheme="majorBidi"/>
          <w:sz w:val="24"/>
          <w:szCs w:val="24"/>
        </w:rPr>
        <w:t>,</w:t>
      </w:r>
      <w:r w:rsidR="00510143" w:rsidRPr="00062B0E">
        <w:rPr>
          <w:rFonts w:asciiTheme="majorBidi" w:hAnsiTheme="majorBidi" w:cstheme="majorBidi"/>
          <w:sz w:val="24"/>
          <w:szCs w:val="24"/>
        </w:rPr>
        <w:t xml:space="preserve"> </w:t>
      </w:r>
      <w:r w:rsidR="00510143" w:rsidRPr="00062B0E">
        <w:rPr>
          <w:rFonts w:asciiTheme="majorBidi" w:hAnsiTheme="majorBidi" w:cstheme="majorBidi"/>
          <w:b/>
          <w:bCs/>
          <w:sz w:val="24"/>
          <w:szCs w:val="24"/>
        </w:rPr>
        <w:t xml:space="preserve">Regulation of Executive Compensation: The Worst of All </w:t>
      </w:r>
      <w:proofErr w:type="gramStart"/>
      <w:r w:rsidR="00510143" w:rsidRPr="00062B0E">
        <w:rPr>
          <w:rFonts w:asciiTheme="majorBidi" w:hAnsiTheme="majorBidi" w:cstheme="majorBidi"/>
          <w:b/>
          <w:bCs/>
          <w:sz w:val="24"/>
          <w:szCs w:val="24"/>
        </w:rPr>
        <w:t>Worlds?</w:t>
      </w:r>
      <w:r w:rsidR="00510143" w:rsidRPr="00062B0E">
        <w:rPr>
          <w:rFonts w:asciiTheme="majorBidi" w:hAnsiTheme="majorBidi" w:cstheme="majorBidi"/>
          <w:sz w:val="24"/>
          <w:szCs w:val="24"/>
        </w:rPr>
        <w:t>,</w:t>
      </w:r>
      <w:proofErr w:type="gramEnd"/>
      <w:r w:rsidR="00510143" w:rsidRPr="00062B0E">
        <w:rPr>
          <w:rFonts w:asciiTheme="majorBidi" w:hAnsiTheme="majorBidi" w:cstheme="majorBidi"/>
          <w:sz w:val="24"/>
          <w:szCs w:val="24"/>
        </w:rPr>
        <w:t xml:space="preserve"> </w:t>
      </w:r>
      <w:r w:rsidR="00510143" w:rsidRPr="00882BF6">
        <w:rPr>
          <w:rFonts w:asciiTheme="majorBidi" w:hAnsiTheme="majorBidi" w:cstheme="majorBidi"/>
          <w:b/>
          <w:bCs/>
          <w:sz w:val="24"/>
          <w:szCs w:val="24"/>
        </w:rPr>
        <w:t>Tom Gosling</w:t>
      </w:r>
      <w:r w:rsidR="00510143" w:rsidRPr="00062B0E">
        <w:rPr>
          <w:rFonts w:asciiTheme="majorBidi" w:hAnsiTheme="majorBidi" w:cstheme="majorBidi"/>
          <w:sz w:val="24"/>
          <w:szCs w:val="24"/>
        </w:rPr>
        <w:t xml:space="preserve"> </w:t>
      </w:r>
      <w:r w:rsidR="002C0B49" w:rsidRPr="00062B0E">
        <w:rPr>
          <w:rFonts w:asciiTheme="majorBidi" w:hAnsiTheme="majorBidi" w:cstheme="majorBidi"/>
          <w:sz w:val="24"/>
          <w:szCs w:val="24"/>
        </w:rPr>
        <w:t xml:space="preserve">provided a brief history of UK pay regulation and its relationship with pay levels and practices. He also </w:t>
      </w:r>
      <w:r w:rsidR="00510143" w:rsidRPr="00062B0E">
        <w:rPr>
          <w:rFonts w:asciiTheme="majorBidi" w:hAnsiTheme="majorBidi" w:cstheme="majorBidi"/>
          <w:sz w:val="24"/>
          <w:szCs w:val="24"/>
        </w:rPr>
        <w:t>discussed the transnational success of the UK’s regulatory approach to executive pay</w:t>
      </w:r>
      <w:r w:rsidR="00882BF6">
        <w:rPr>
          <w:rFonts w:asciiTheme="majorBidi" w:hAnsiTheme="majorBidi" w:cstheme="majorBidi"/>
          <w:sz w:val="24"/>
          <w:szCs w:val="24"/>
        </w:rPr>
        <w:t>, particularly the ‘say on pay’ technique, which has spread around the world since it was first adopted in the UK in 2003.</w:t>
      </w:r>
      <w:r w:rsidR="00510143" w:rsidRPr="00062B0E">
        <w:rPr>
          <w:rFonts w:asciiTheme="majorBidi" w:hAnsiTheme="majorBidi" w:cstheme="majorBidi"/>
          <w:sz w:val="24"/>
          <w:szCs w:val="24"/>
        </w:rPr>
        <w:t xml:space="preserve"> </w:t>
      </w:r>
    </w:p>
    <w:p w14:paraId="726F7541" w14:textId="24DC2A9F" w:rsidR="00510143" w:rsidRPr="00062B0E" w:rsidRDefault="00510143" w:rsidP="00062B0E">
      <w:pPr>
        <w:spacing w:line="360" w:lineRule="auto"/>
        <w:jc w:val="both"/>
        <w:rPr>
          <w:rFonts w:asciiTheme="majorBidi" w:hAnsiTheme="majorBidi" w:cstheme="majorBidi"/>
          <w:sz w:val="24"/>
          <w:szCs w:val="24"/>
        </w:rPr>
      </w:pPr>
      <w:r w:rsidRPr="00062B0E">
        <w:rPr>
          <w:rFonts w:asciiTheme="majorBidi" w:hAnsiTheme="majorBidi" w:cstheme="majorBidi"/>
          <w:sz w:val="24"/>
          <w:szCs w:val="24"/>
        </w:rPr>
        <w:t xml:space="preserve">The presentation considered why the UK </w:t>
      </w:r>
      <w:r w:rsidR="002C0B49" w:rsidRPr="00062B0E">
        <w:rPr>
          <w:rFonts w:asciiTheme="majorBidi" w:hAnsiTheme="majorBidi" w:cstheme="majorBidi"/>
          <w:sz w:val="24"/>
          <w:szCs w:val="24"/>
        </w:rPr>
        <w:t>approach</w:t>
      </w:r>
      <w:r w:rsidR="00710428">
        <w:rPr>
          <w:rFonts w:asciiTheme="majorBidi" w:hAnsiTheme="majorBidi" w:cstheme="majorBidi"/>
          <w:sz w:val="24"/>
          <w:szCs w:val="24"/>
        </w:rPr>
        <w:t xml:space="preserve"> has been</w:t>
      </w:r>
      <w:r w:rsidR="002C0B49" w:rsidRPr="00062B0E">
        <w:rPr>
          <w:rFonts w:asciiTheme="majorBidi" w:hAnsiTheme="majorBidi" w:cstheme="majorBidi"/>
          <w:sz w:val="24"/>
          <w:szCs w:val="24"/>
        </w:rPr>
        <w:t xml:space="preserve"> </w:t>
      </w:r>
      <w:r w:rsidRPr="00062B0E">
        <w:rPr>
          <w:rFonts w:asciiTheme="majorBidi" w:hAnsiTheme="majorBidi" w:cstheme="majorBidi"/>
          <w:sz w:val="24"/>
          <w:szCs w:val="24"/>
        </w:rPr>
        <w:t>so influential</w:t>
      </w:r>
      <w:r w:rsidR="002C0B49" w:rsidRPr="00062B0E">
        <w:rPr>
          <w:rFonts w:asciiTheme="majorBidi" w:hAnsiTheme="majorBidi" w:cstheme="majorBidi"/>
          <w:sz w:val="24"/>
          <w:szCs w:val="24"/>
        </w:rPr>
        <w:t xml:space="preserve">. </w:t>
      </w:r>
      <w:r w:rsidR="00F9125F">
        <w:rPr>
          <w:rFonts w:asciiTheme="majorBidi" w:hAnsiTheme="majorBidi" w:cstheme="majorBidi"/>
          <w:sz w:val="24"/>
          <w:szCs w:val="24"/>
        </w:rPr>
        <w:t xml:space="preserve">It </w:t>
      </w:r>
      <w:r w:rsidR="002C0B49" w:rsidRPr="00062B0E">
        <w:rPr>
          <w:rFonts w:asciiTheme="majorBidi" w:hAnsiTheme="majorBidi" w:cstheme="majorBidi"/>
          <w:sz w:val="24"/>
          <w:szCs w:val="24"/>
        </w:rPr>
        <w:t xml:space="preserve">noted such a regulatory style </w:t>
      </w:r>
      <w:r w:rsidRPr="00062B0E">
        <w:rPr>
          <w:rFonts w:asciiTheme="majorBidi" w:hAnsiTheme="majorBidi" w:cstheme="majorBidi"/>
          <w:sz w:val="24"/>
          <w:szCs w:val="24"/>
        </w:rPr>
        <w:t>is attractive to politicians</w:t>
      </w:r>
      <w:r w:rsidR="002C0B49" w:rsidRPr="00062B0E">
        <w:rPr>
          <w:rFonts w:asciiTheme="majorBidi" w:hAnsiTheme="majorBidi" w:cstheme="majorBidi"/>
          <w:sz w:val="24"/>
          <w:szCs w:val="24"/>
        </w:rPr>
        <w:t>. On the one hand,</w:t>
      </w:r>
      <w:r w:rsidRPr="00062B0E">
        <w:rPr>
          <w:rFonts w:asciiTheme="majorBidi" w:hAnsiTheme="majorBidi" w:cstheme="majorBidi"/>
          <w:sz w:val="24"/>
          <w:szCs w:val="24"/>
        </w:rPr>
        <w:t xml:space="preserve"> it enables</w:t>
      </w:r>
      <w:r w:rsidR="002C0B49" w:rsidRPr="00062B0E">
        <w:rPr>
          <w:rFonts w:asciiTheme="majorBidi" w:hAnsiTheme="majorBidi" w:cstheme="majorBidi"/>
          <w:sz w:val="24"/>
          <w:szCs w:val="24"/>
        </w:rPr>
        <w:t xml:space="preserve"> politicians</w:t>
      </w:r>
      <w:r w:rsidRPr="00062B0E">
        <w:rPr>
          <w:rFonts w:asciiTheme="majorBidi" w:hAnsiTheme="majorBidi" w:cstheme="majorBidi"/>
          <w:sz w:val="24"/>
          <w:szCs w:val="24"/>
        </w:rPr>
        <w:t xml:space="preserve"> to </w:t>
      </w:r>
      <w:r w:rsidR="002C0B49" w:rsidRPr="00062B0E">
        <w:rPr>
          <w:rFonts w:asciiTheme="majorBidi" w:hAnsiTheme="majorBidi" w:cstheme="majorBidi"/>
          <w:sz w:val="24"/>
          <w:szCs w:val="24"/>
        </w:rPr>
        <w:t>‘</w:t>
      </w:r>
      <w:r w:rsidRPr="00062B0E">
        <w:rPr>
          <w:rFonts w:asciiTheme="majorBidi" w:hAnsiTheme="majorBidi" w:cstheme="majorBidi"/>
          <w:sz w:val="24"/>
          <w:szCs w:val="24"/>
        </w:rPr>
        <w:t>talk tough</w:t>
      </w:r>
      <w:r w:rsidR="002C0B49" w:rsidRPr="00062B0E">
        <w:rPr>
          <w:rFonts w:asciiTheme="majorBidi" w:hAnsiTheme="majorBidi" w:cstheme="majorBidi"/>
          <w:sz w:val="24"/>
          <w:szCs w:val="24"/>
        </w:rPr>
        <w:t>’</w:t>
      </w:r>
      <w:r w:rsidRPr="00062B0E">
        <w:rPr>
          <w:rFonts w:asciiTheme="majorBidi" w:hAnsiTheme="majorBidi" w:cstheme="majorBidi"/>
          <w:sz w:val="24"/>
          <w:szCs w:val="24"/>
        </w:rPr>
        <w:t xml:space="preserve"> on executive pay. </w:t>
      </w:r>
      <w:r w:rsidR="00F9125F">
        <w:rPr>
          <w:rFonts w:asciiTheme="majorBidi" w:hAnsiTheme="majorBidi" w:cstheme="majorBidi"/>
          <w:sz w:val="24"/>
          <w:szCs w:val="24"/>
        </w:rPr>
        <w:t>But, o</w:t>
      </w:r>
      <w:r w:rsidR="002C0B49" w:rsidRPr="00062B0E">
        <w:rPr>
          <w:rFonts w:asciiTheme="majorBidi" w:hAnsiTheme="majorBidi" w:cstheme="majorBidi"/>
          <w:sz w:val="24"/>
          <w:szCs w:val="24"/>
        </w:rPr>
        <w:t xml:space="preserve">n the other hand, </w:t>
      </w:r>
      <w:r w:rsidR="00F9125F">
        <w:rPr>
          <w:rFonts w:asciiTheme="majorBidi" w:hAnsiTheme="majorBidi" w:cstheme="majorBidi"/>
          <w:sz w:val="24"/>
          <w:szCs w:val="24"/>
        </w:rPr>
        <w:t xml:space="preserve">reliance on </w:t>
      </w:r>
      <w:r w:rsidRPr="00062B0E">
        <w:rPr>
          <w:rFonts w:asciiTheme="majorBidi" w:hAnsiTheme="majorBidi" w:cstheme="majorBidi"/>
          <w:sz w:val="24"/>
          <w:szCs w:val="24"/>
        </w:rPr>
        <w:t xml:space="preserve">market mechanisms </w:t>
      </w:r>
      <w:r w:rsidR="00F9125F">
        <w:rPr>
          <w:rFonts w:asciiTheme="majorBidi" w:hAnsiTheme="majorBidi" w:cstheme="majorBidi"/>
          <w:sz w:val="24"/>
          <w:szCs w:val="24"/>
        </w:rPr>
        <w:t xml:space="preserve">(particularly </w:t>
      </w:r>
      <w:r w:rsidRPr="00062B0E">
        <w:rPr>
          <w:rFonts w:asciiTheme="majorBidi" w:hAnsiTheme="majorBidi" w:cstheme="majorBidi"/>
          <w:sz w:val="24"/>
          <w:szCs w:val="24"/>
        </w:rPr>
        <w:t>shareholders</w:t>
      </w:r>
      <w:r w:rsidR="00F9125F">
        <w:rPr>
          <w:rFonts w:asciiTheme="majorBidi" w:hAnsiTheme="majorBidi" w:cstheme="majorBidi"/>
          <w:sz w:val="24"/>
          <w:szCs w:val="24"/>
        </w:rPr>
        <w:t>)</w:t>
      </w:r>
      <w:r w:rsidRPr="00062B0E">
        <w:rPr>
          <w:rFonts w:asciiTheme="majorBidi" w:hAnsiTheme="majorBidi" w:cstheme="majorBidi"/>
          <w:sz w:val="24"/>
          <w:szCs w:val="24"/>
        </w:rPr>
        <w:t xml:space="preserve"> to regulate pay, potentially provides a safeguard</w:t>
      </w:r>
      <w:r w:rsidR="002C0B49" w:rsidRPr="00062B0E">
        <w:rPr>
          <w:rFonts w:asciiTheme="majorBidi" w:hAnsiTheme="majorBidi" w:cstheme="majorBidi"/>
          <w:sz w:val="24"/>
          <w:szCs w:val="24"/>
        </w:rPr>
        <w:t xml:space="preserve"> </w:t>
      </w:r>
      <w:r w:rsidRPr="00062B0E">
        <w:rPr>
          <w:rFonts w:asciiTheme="majorBidi" w:hAnsiTheme="majorBidi" w:cstheme="majorBidi"/>
          <w:sz w:val="24"/>
          <w:szCs w:val="24"/>
        </w:rPr>
        <w:t xml:space="preserve">against </w:t>
      </w:r>
      <w:r w:rsidR="00F9125F">
        <w:rPr>
          <w:rFonts w:asciiTheme="majorBidi" w:hAnsiTheme="majorBidi" w:cstheme="majorBidi"/>
          <w:sz w:val="24"/>
          <w:szCs w:val="24"/>
        </w:rPr>
        <w:t xml:space="preserve">extreme </w:t>
      </w:r>
      <w:r w:rsidRPr="00062B0E">
        <w:rPr>
          <w:rFonts w:asciiTheme="majorBidi" w:hAnsiTheme="majorBidi" w:cstheme="majorBidi"/>
          <w:sz w:val="24"/>
          <w:szCs w:val="24"/>
        </w:rPr>
        <w:t xml:space="preserve">pay constraints that </w:t>
      </w:r>
      <w:r w:rsidR="00F9125F">
        <w:rPr>
          <w:rFonts w:asciiTheme="majorBidi" w:hAnsiTheme="majorBidi" w:cstheme="majorBidi"/>
          <w:sz w:val="24"/>
          <w:szCs w:val="24"/>
        </w:rPr>
        <w:t xml:space="preserve">may be </w:t>
      </w:r>
      <w:r w:rsidRPr="00062B0E">
        <w:rPr>
          <w:rFonts w:asciiTheme="majorBidi" w:hAnsiTheme="majorBidi" w:cstheme="majorBidi"/>
          <w:sz w:val="24"/>
          <w:szCs w:val="24"/>
        </w:rPr>
        <w:t>economically damaging</w:t>
      </w:r>
      <w:r w:rsidR="00F9125F">
        <w:rPr>
          <w:rFonts w:asciiTheme="majorBidi" w:hAnsiTheme="majorBidi" w:cstheme="majorBidi"/>
          <w:sz w:val="24"/>
          <w:szCs w:val="24"/>
        </w:rPr>
        <w:t>,</w:t>
      </w:r>
      <w:r w:rsidRPr="00062B0E">
        <w:rPr>
          <w:rFonts w:asciiTheme="majorBidi" w:hAnsiTheme="majorBidi" w:cstheme="majorBidi"/>
          <w:sz w:val="24"/>
          <w:szCs w:val="24"/>
        </w:rPr>
        <w:t xml:space="preserve"> </w:t>
      </w:r>
      <w:r w:rsidR="00F9125F">
        <w:rPr>
          <w:rFonts w:asciiTheme="majorBidi" w:hAnsiTheme="majorBidi" w:cstheme="majorBidi"/>
          <w:sz w:val="24"/>
          <w:szCs w:val="24"/>
        </w:rPr>
        <w:t xml:space="preserve">while </w:t>
      </w:r>
      <w:r w:rsidR="002C0B49" w:rsidRPr="00062B0E">
        <w:rPr>
          <w:rFonts w:asciiTheme="majorBidi" w:hAnsiTheme="majorBidi" w:cstheme="majorBidi"/>
          <w:sz w:val="24"/>
          <w:szCs w:val="24"/>
        </w:rPr>
        <w:t xml:space="preserve">also </w:t>
      </w:r>
      <w:r w:rsidRPr="00062B0E">
        <w:rPr>
          <w:rFonts w:asciiTheme="majorBidi" w:hAnsiTheme="majorBidi" w:cstheme="majorBidi"/>
          <w:sz w:val="24"/>
          <w:szCs w:val="24"/>
        </w:rPr>
        <w:t>enabl</w:t>
      </w:r>
      <w:r w:rsidR="00F9125F">
        <w:rPr>
          <w:rFonts w:asciiTheme="majorBidi" w:hAnsiTheme="majorBidi" w:cstheme="majorBidi"/>
          <w:sz w:val="24"/>
          <w:szCs w:val="24"/>
        </w:rPr>
        <w:t>ing</w:t>
      </w:r>
      <w:r w:rsidRPr="00062B0E">
        <w:rPr>
          <w:rFonts w:asciiTheme="majorBidi" w:hAnsiTheme="majorBidi" w:cstheme="majorBidi"/>
          <w:sz w:val="24"/>
          <w:szCs w:val="24"/>
        </w:rPr>
        <w:t xml:space="preserve"> politicians </w:t>
      </w:r>
      <w:r w:rsidR="002C0B49" w:rsidRPr="00062B0E">
        <w:rPr>
          <w:rFonts w:asciiTheme="majorBidi" w:hAnsiTheme="majorBidi" w:cstheme="majorBidi"/>
          <w:sz w:val="24"/>
          <w:szCs w:val="24"/>
        </w:rPr>
        <w:t>to evade</w:t>
      </w:r>
      <w:r w:rsidRPr="00062B0E">
        <w:rPr>
          <w:rFonts w:asciiTheme="majorBidi" w:hAnsiTheme="majorBidi" w:cstheme="majorBidi"/>
          <w:sz w:val="24"/>
          <w:szCs w:val="24"/>
        </w:rPr>
        <w:t xml:space="preserve"> direct accountability for pay outcomes.</w:t>
      </w:r>
    </w:p>
    <w:p w14:paraId="20791D32" w14:textId="561A18A7" w:rsidR="002C0B49" w:rsidRPr="00062B0E" w:rsidRDefault="002C0B49" w:rsidP="00062B0E">
      <w:pPr>
        <w:spacing w:line="360" w:lineRule="auto"/>
        <w:jc w:val="both"/>
        <w:rPr>
          <w:rFonts w:asciiTheme="majorBidi" w:hAnsiTheme="majorBidi" w:cstheme="majorBidi"/>
          <w:sz w:val="24"/>
          <w:szCs w:val="24"/>
        </w:rPr>
      </w:pPr>
      <w:r w:rsidRPr="00062B0E">
        <w:rPr>
          <w:rFonts w:asciiTheme="majorBidi" w:hAnsiTheme="majorBidi" w:cstheme="majorBidi"/>
          <w:sz w:val="24"/>
          <w:szCs w:val="24"/>
        </w:rPr>
        <w:t>T</w:t>
      </w:r>
      <w:r w:rsidR="0000273D">
        <w:rPr>
          <w:rFonts w:asciiTheme="majorBidi" w:hAnsiTheme="majorBidi" w:cstheme="majorBidi"/>
          <w:sz w:val="24"/>
          <w:szCs w:val="24"/>
        </w:rPr>
        <w:t>he presentation</w:t>
      </w:r>
      <w:r w:rsidRPr="00062B0E">
        <w:rPr>
          <w:rFonts w:asciiTheme="majorBidi" w:hAnsiTheme="majorBidi" w:cstheme="majorBidi"/>
          <w:sz w:val="24"/>
          <w:szCs w:val="24"/>
        </w:rPr>
        <w:t xml:space="preserve"> argued that a consequence of the UK’s attempts to regulate via the</w:t>
      </w:r>
      <w:r w:rsidR="001768AD" w:rsidRPr="00062B0E">
        <w:rPr>
          <w:rFonts w:asciiTheme="majorBidi" w:hAnsiTheme="majorBidi" w:cstheme="majorBidi"/>
          <w:sz w:val="24"/>
          <w:szCs w:val="24"/>
        </w:rPr>
        <w:t xml:space="preserve"> </w:t>
      </w:r>
      <w:r w:rsidRPr="00062B0E">
        <w:rPr>
          <w:rFonts w:asciiTheme="majorBidi" w:hAnsiTheme="majorBidi" w:cstheme="majorBidi"/>
          <w:sz w:val="24"/>
          <w:szCs w:val="24"/>
        </w:rPr>
        <w:t xml:space="preserve">market is that the executive pay ‘problem’ has never been solved to the public’s </w:t>
      </w:r>
      <w:r w:rsidR="001768AD" w:rsidRPr="00062B0E">
        <w:rPr>
          <w:rFonts w:asciiTheme="majorBidi" w:hAnsiTheme="majorBidi" w:cstheme="majorBidi"/>
          <w:sz w:val="24"/>
          <w:szCs w:val="24"/>
        </w:rPr>
        <w:t>satisfaction. But</w:t>
      </w:r>
      <w:r w:rsidRPr="00062B0E">
        <w:rPr>
          <w:rFonts w:asciiTheme="majorBidi" w:hAnsiTheme="majorBidi" w:cstheme="majorBidi"/>
          <w:sz w:val="24"/>
          <w:szCs w:val="24"/>
        </w:rPr>
        <w:t xml:space="preserve"> at the same time, UK boards </w:t>
      </w:r>
      <w:r w:rsidR="0000273D">
        <w:rPr>
          <w:rFonts w:asciiTheme="majorBidi" w:hAnsiTheme="majorBidi" w:cstheme="majorBidi"/>
          <w:sz w:val="24"/>
          <w:szCs w:val="24"/>
        </w:rPr>
        <w:t xml:space="preserve">argue </w:t>
      </w:r>
      <w:r w:rsidRPr="00062B0E">
        <w:rPr>
          <w:rFonts w:asciiTheme="majorBidi" w:hAnsiTheme="majorBidi" w:cstheme="majorBidi"/>
          <w:sz w:val="24"/>
          <w:szCs w:val="24"/>
        </w:rPr>
        <w:t xml:space="preserve">that shareholder interference in pay has damaged UK competitiveness and the ability to attract </w:t>
      </w:r>
      <w:r w:rsidR="0000273D">
        <w:rPr>
          <w:rFonts w:asciiTheme="majorBidi" w:hAnsiTheme="majorBidi" w:cstheme="majorBidi"/>
          <w:sz w:val="24"/>
          <w:szCs w:val="24"/>
        </w:rPr>
        <w:t xml:space="preserve">effective corporate </w:t>
      </w:r>
      <w:r w:rsidRPr="00062B0E">
        <w:rPr>
          <w:rFonts w:asciiTheme="majorBidi" w:hAnsiTheme="majorBidi" w:cstheme="majorBidi"/>
          <w:sz w:val="24"/>
          <w:szCs w:val="24"/>
        </w:rPr>
        <w:t>leaders</w:t>
      </w:r>
      <w:r w:rsidR="0000273D">
        <w:rPr>
          <w:rFonts w:asciiTheme="majorBidi" w:hAnsiTheme="majorBidi" w:cstheme="majorBidi"/>
          <w:sz w:val="24"/>
          <w:szCs w:val="24"/>
        </w:rPr>
        <w:t xml:space="preserve">. This has resulted in the </w:t>
      </w:r>
      <w:r w:rsidR="00474513">
        <w:rPr>
          <w:rFonts w:asciiTheme="majorBidi" w:hAnsiTheme="majorBidi" w:cstheme="majorBidi"/>
          <w:sz w:val="24"/>
          <w:szCs w:val="24"/>
        </w:rPr>
        <w:t xml:space="preserve">possibility </w:t>
      </w:r>
      <w:r w:rsidRPr="00062B0E">
        <w:rPr>
          <w:rFonts w:asciiTheme="majorBidi" w:hAnsiTheme="majorBidi" w:cstheme="majorBidi"/>
          <w:sz w:val="24"/>
          <w:szCs w:val="24"/>
        </w:rPr>
        <w:t xml:space="preserve">UK’s </w:t>
      </w:r>
      <w:r w:rsidR="001768AD" w:rsidRPr="00062B0E">
        <w:rPr>
          <w:rFonts w:asciiTheme="majorBidi" w:hAnsiTheme="majorBidi" w:cstheme="majorBidi"/>
          <w:sz w:val="24"/>
          <w:szCs w:val="24"/>
        </w:rPr>
        <w:t xml:space="preserve">regulatory </w:t>
      </w:r>
      <w:r w:rsidRPr="00062B0E">
        <w:rPr>
          <w:rFonts w:asciiTheme="majorBidi" w:hAnsiTheme="majorBidi" w:cstheme="majorBidi"/>
          <w:sz w:val="24"/>
          <w:szCs w:val="24"/>
        </w:rPr>
        <w:t>approach</w:t>
      </w:r>
      <w:r w:rsidR="001768AD" w:rsidRPr="00062B0E">
        <w:rPr>
          <w:rFonts w:asciiTheme="majorBidi" w:hAnsiTheme="majorBidi" w:cstheme="majorBidi"/>
          <w:sz w:val="24"/>
          <w:szCs w:val="24"/>
        </w:rPr>
        <w:t xml:space="preserve"> to executive </w:t>
      </w:r>
      <w:r w:rsidR="00474513" w:rsidRPr="00062B0E">
        <w:rPr>
          <w:rFonts w:asciiTheme="majorBidi" w:hAnsiTheme="majorBidi" w:cstheme="majorBidi"/>
          <w:sz w:val="24"/>
          <w:szCs w:val="24"/>
        </w:rPr>
        <w:t>pay has</w:t>
      </w:r>
      <w:r w:rsidR="0000273D">
        <w:rPr>
          <w:rFonts w:asciiTheme="majorBidi" w:hAnsiTheme="majorBidi" w:cstheme="majorBidi"/>
          <w:sz w:val="24"/>
          <w:szCs w:val="24"/>
        </w:rPr>
        <w:t xml:space="preserve">, in fact, </w:t>
      </w:r>
      <w:r w:rsidRPr="00062B0E">
        <w:rPr>
          <w:rFonts w:asciiTheme="majorBidi" w:hAnsiTheme="majorBidi" w:cstheme="majorBidi"/>
          <w:sz w:val="24"/>
          <w:szCs w:val="24"/>
        </w:rPr>
        <w:t>led to the worst of all worlds</w:t>
      </w:r>
      <w:r w:rsidR="001768AD" w:rsidRPr="00062B0E">
        <w:rPr>
          <w:rFonts w:asciiTheme="majorBidi" w:hAnsiTheme="majorBidi" w:cstheme="majorBidi"/>
          <w:sz w:val="24"/>
          <w:szCs w:val="24"/>
        </w:rPr>
        <w:t>.</w:t>
      </w:r>
    </w:p>
    <w:p w14:paraId="04337614" w14:textId="44A31E71" w:rsidR="00CF75C8" w:rsidRPr="00062B0E" w:rsidRDefault="00CF75C8" w:rsidP="00062B0E">
      <w:pPr>
        <w:spacing w:line="360" w:lineRule="auto"/>
        <w:jc w:val="both"/>
        <w:rPr>
          <w:rFonts w:asciiTheme="majorBidi" w:hAnsiTheme="majorBidi" w:cstheme="majorBidi"/>
          <w:sz w:val="24"/>
          <w:szCs w:val="24"/>
        </w:rPr>
      </w:pPr>
    </w:p>
    <w:sectPr w:rsidR="00CF75C8" w:rsidRPr="00062B0E" w:rsidSect="00CC4B31">
      <w:headerReference w:type="even" r:id="rId7"/>
      <w:headerReference w:type="default" r:id="rId8"/>
      <w:pgSz w:w="11900" w:h="16840"/>
      <w:pgMar w:top="1440" w:right="1440" w:bottom="1440" w:left="1440" w:header="708" w:footer="708"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887E33" w14:textId="77777777" w:rsidR="00CC4B31" w:rsidRDefault="00CC4B31" w:rsidP="00847BDB">
      <w:pPr>
        <w:spacing w:after="0"/>
      </w:pPr>
      <w:r>
        <w:separator/>
      </w:r>
    </w:p>
  </w:endnote>
  <w:endnote w:type="continuationSeparator" w:id="0">
    <w:p w14:paraId="4E9A3107" w14:textId="77777777" w:rsidR="00CC4B31" w:rsidRDefault="00CC4B31" w:rsidP="00847B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F3A54" w14:textId="77777777" w:rsidR="00CC4B31" w:rsidRDefault="00CC4B31" w:rsidP="00847BDB">
      <w:pPr>
        <w:spacing w:after="0"/>
      </w:pPr>
      <w:r>
        <w:separator/>
      </w:r>
    </w:p>
  </w:footnote>
  <w:footnote w:type="continuationSeparator" w:id="0">
    <w:p w14:paraId="3F739B13" w14:textId="77777777" w:rsidR="00CC4B31" w:rsidRDefault="00CC4B31" w:rsidP="00847B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68165341"/>
      <w:docPartObj>
        <w:docPartGallery w:val="Page Numbers (Top of Page)"/>
        <w:docPartUnique/>
      </w:docPartObj>
    </w:sdtPr>
    <w:sdtContent>
      <w:p w14:paraId="1E2B9309" w14:textId="1083CFA3" w:rsidR="00847BDB" w:rsidRDefault="00847BDB" w:rsidP="00E3517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02D17E" w14:textId="77777777" w:rsidR="00847BDB" w:rsidRDefault="00847BDB" w:rsidP="00847BD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89569153"/>
      <w:docPartObj>
        <w:docPartGallery w:val="Page Numbers (Top of Page)"/>
        <w:docPartUnique/>
      </w:docPartObj>
    </w:sdtPr>
    <w:sdtContent>
      <w:p w14:paraId="210D27B6" w14:textId="600F0F79" w:rsidR="00847BDB" w:rsidRDefault="00847BDB" w:rsidP="00E3517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8312960" w14:textId="77777777" w:rsidR="00847BDB" w:rsidRDefault="00847BDB" w:rsidP="00847BD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54665"/>
    <w:multiLevelType w:val="hybridMultilevel"/>
    <w:tmpl w:val="5400EABE"/>
    <w:lvl w:ilvl="0" w:tplc="66A8B3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06271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E65"/>
    <w:rsid w:val="0000273D"/>
    <w:rsid w:val="00004E91"/>
    <w:rsid w:val="000055FA"/>
    <w:rsid w:val="000231A7"/>
    <w:rsid w:val="00034F52"/>
    <w:rsid w:val="00045D04"/>
    <w:rsid w:val="000551F5"/>
    <w:rsid w:val="00062B0E"/>
    <w:rsid w:val="000B127E"/>
    <w:rsid w:val="000C107B"/>
    <w:rsid w:val="00102770"/>
    <w:rsid w:val="0010382A"/>
    <w:rsid w:val="001427C9"/>
    <w:rsid w:val="00172882"/>
    <w:rsid w:val="001739D0"/>
    <w:rsid w:val="001768AD"/>
    <w:rsid w:val="001A384C"/>
    <w:rsid w:val="001F08DA"/>
    <w:rsid w:val="00216525"/>
    <w:rsid w:val="0022101A"/>
    <w:rsid w:val="0023103F"/>
    <w:rsid w:val="00234794"/>
    <w:rsid w:val="00260363"/>
    <w:rsid w:val="00267F8A"/>
    <w:rsid w:val="00285E46"/>
    <w:rsid w:val="002B464E"/>
    <w:rsid w:val="002C0B49"/>
    <w:rsid w:val="002C6E0C"/>
    <w:rsid w:val="00315E69"/>
    <w:rsid w:val="00334BC3"/>
    <w:rsid w:val="00351EC7"/>
    <w:rsid w:val="00363637"/>
    <w:rsid w:val="003769AD"/>
    <w:rsid w:val="00377B12"/>
    <w:rsid w:val="003961F0"/>
    <w:rsid w:val="003E2B46"/>
    <w:rsid w:val="003F7C3C"/>
    <w:rsid w:val="0040425E"/>
    <w:rsid w:val="00414BD5"/>
    <w:rsid w:val="004722D5"/>
    <w:rsid w:val="00474513"/>
    <w:rsid w:val="004805F3"/>
    <w:rsid w:val="004A6DA4"/>
    <w:rsid w:val="004F6FDA"/>
    <w:rsid w:val="00503E86"/>
    <w:rsid w:val="00510143"/>
    <w:rsid w:val="00531E78"/>
    <w:rsid w:val="00566B51"/>
    <w:rsid w:val="005731EE"/>
    <w:rsid w:val="00575F49"/>
    <w:rsid w:val="005A36DA"/>
    <w:rsid w:val="005A54CE"/>
    <w:rsid w:val="005D3143"/>
    <w:rsid w:val="005D371A"/>
    <w:rsid w:val="005E4B8D"/>
    <w:rsid w:val="00620B65"/>
    <w:rsid w:val="00621984"/>
    <w:rsid w:val="00650BD3"/>
    <w:rsid w:val="00653B1B"/>
    <w:rsid w:val="006B07B6"/>
    <w:rsid w:val="006C73A0"/>
    <w:rsid w:val="006E2A75"/>
    <w:rsid w:val="00710428"/>
    <w:rsid w:val="00736E65"/>
    <w:rsid w:val="007711A8"/>
    <w:rsid w:val="007C7310"/>
    <w:rsid w:val="007F0967"/>
    <w:rsid w:val="007F55FA"/>
    <w:rsid w:val="00800D00"/>
    <w:rsid w:val="00821C85"/>
    <w:rsid w:val="00837101"/>
    <w:rsid w:val="00847BDB"/>
    <w:rsid w:val="0085174F"/>
    <w:rsid w:val="00863A59"/>
    <w:rsid w:val="00876CBD"/>
    <w:rsid w:val="00882BF6"/>
    <w:rsid w:val="00895F80"/>
    <w:rsid w:val="008A4CEA"/>
    <w:rsid w:val="008B683F"/>
    <w:rsid w:val="008E2998"/>
    <w:rsid w:val="00907917"/>
    <w:rsid w:val="009309C1"/>
    <w:rsid w:val="0095112F"/>
    <w:rsid w:val="00A24067"/>
    <w:rsid w:val="00A243A3"/>
    <w:rsid w:val="00A511AE"/>
    <w:rsid w:val="00AA49F7"/>
    <w:rsid w:val="00AA7DAE"/>
    <w:rsid w:val="00AB6559"/>
    <w:rsid w:val="00AD018F"/>
    <w:rsid w:val="00AE5F7A"/>
    <w:rsid w:val="00B35D9F"/>
    <w:rsid w:val="00B67338"/>
    <w:rsid w:val="00BB5AC8"/>
    <w:rsid w:val="00BB7FA3"/>
    <w:rsid w:val="00BC5E4C"/>
    <w:rsid w:val="00C2779B"/>
    <w:rsid w:val="00C345A3"/>
    <w:rsid w:val="00C60EA6"/>
    <w:rsid w:val="00C8776D"/>
    <w:rsid w:val="00C94DD4"/>
    <w:rsid w:val="00C96AA6"/>
    <w:rsid w:val="00C97744"/>
    <w:rsid w:val="00CC4B31"/>
    <w:rsid w:val="00CD6542"/>
    <w:rsid w:val="00CE15D7"/>
    <w:rsid w:val="00CF050C"/>
    <w:rsid w:val="00CF75C8"/>
    <w:rsid w:val="00D15917"/>
    <w:rsid w:val="00D24BD7"/>
    <w:rsid w:val="00D44F1F"/>
    <w:rsid w:val="00DC441D"/>
    <w:rsid w:val="00DD1FA8"/>
    <w:rsid w:val="00E66196"/>
    <w:rsid w:val="00E7437B"/>
    <w:rsid w:val="00EA1F2C"/>
    <w:rsid w:val="00EB6D48"/>
    <w:rsid w:val="00ED6734"/>
    <w:rsid w:val="00F1366B"/>
    <w:rsid w:val="00F1684D"/>
    <w:rsid w:val="00F32AB9"/>
    <w:rsid w:val="00F45996"/>
    <w:rsid w:val="00F56390"/>
    <w:rsid w:val="00F86226"/>
    <w:rsid w:val="00F86C74"/>
    <w:rsid w:val="00F9125F"/>
    <w:rsid w:val="00F94085"/>
    <w:rsid w:val="00F95299"/>
    <w:rsid w:val="00FB2485"/>
    <w:rsid w:val="00FF36F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E1D41"/>
  <w14:defaultImageDpi w14:val="32767"/>
  <w15:chartTrackingRefBased/>
  <w15:docId w15:val="{21ED6DF5-ECD3-8847-B92F-E39D3F534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kern w:val="2"/>
        <w:lang w:val="en-GB" w:eastAsia="zh-CN" w:bidi="ar-SA"/>
        <w14:ligatures w14:val="standardContextual"/>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D31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Car,Footnote Text Char Char Char Char Char Char Char Char,Footnote Text Char Char Char Char Char Char Char"/>
    <w:basedOn w:val="Normal"/>
    <w:link w:val="FootnoteTextChar"/>
    <w:unhideWhenUsed/>
    <w:qFormat/>
    <w:rsid w:val="00351EC7"/>
    <w:pPr>
      <w:ind w:left="720" w:hanging="720"/>
    </w:pPr>
  </w:style>
  <w:style w:type="character" w:customStyle="1" w:styleId="FootnoteTextChar">
    <w:name w:val="Footnote Text Char"/>
    <w:aliases w:val="Footnote Char,Car Char,Footnote Text Char Char Char Char Char Char Char Char Char,Footnote Text Char Char Char Char Char Char Char Char1"/>
    <w:basedOn w:val="DefaultParagraphFont"/>
    <w:link w:val="FootnoteText"/>
    <w:rsid w:val="00351EC7"/>
    <w:rPr>
      <w:sz w:val="20"/>
    </w:rPr>
  </w:style>
  <w:style w:type="paragraph" w:styleId="Footer">
    <w:name w:val="footer"/>
    <w:basedOn w:val="Normal"/>
    <w:link w:val="FooterChar"/>
    <w:uiPriority w:val="99"/>
    <w:unhideWhenUsed/>
    <w:rsid w:val="00847BDB"/>
    <w:pPr>
      <w:tabs>
        <w:tab w:val="center" w:pos="4680"/>
        <w:tab w:val="right" w:pos="9360"/>
      </w:tabs>
      <w:spacing w:after="0"/>
    </w:pPr>
  </w:style>
  <w:style w:type="character" w:customStyle="1" w:styleId="FooterChar">
    <w:name w:val="Footer Char"/>
    <w:basedOn w:val="DefaultParagraphFont"/>
    <w:link w:val="Footer"/>
    <w:uiPriority w:val="99"/>
    <w:rsid w:val="00847BDB"/>
  </w:style>
  <w:style w:type="character" w:styleId="PageNumber">
    <w:name w:val="page number"/>
    <w:basedOn w:val="DefaultParagraphFont"/>
    <w:uiPriority w:val="99"/>
    <w:semiHidden/>
    <w:unhideWhenUsed/>
    <w:rsid w:val="00847BDB"/>
  </w:style>
  <w:style w:type="paragraph" w:styleId="Header">
    <w:name w:val="header"/>
    <w:basedOn w:val="Normal"/>
    <w:link w:val="HeaderChar"/>
    <w:uiPriority w:val="99"/>
    <w:unhideWhenUsed/>
    <w:rsid w:val="00847BDB"/>
    <w:pPr>
      <w:tabs>
        <w:tab w:val="center" w:pos="4680"/>
        <w:tab w:val="right" w:pos="9360"/>
      </w:tabs>
      <w:spacing w:after="0"/>
    </w:pPr>
  </w:style>
  <w:style w:type="character" w:customStyle="1" w:styleId="HeaderChar">
    <w:name w:val="Header Char"/>
    <w:basedOn w:val="DefaultParagraphFont"/>
    <w:link w:val="Header"/>
    <w:uiPriority w:val="99"/>
    <w:rsid w:val="00847BDB"/>
  </w:style>
  <w:style w:type="paragraph" w:styleId="ListParagraph">
    <w:name w:val="List Paragraph"/>
    <w:basedOn w:val="Normal"/>
    <w:uiPriority w:val="34"/>
    <w:qFormat/>
    <w:rsid w:val="00F952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3053</Words>
  <Characters>17408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Hill</dc:creator>
  <cp:keywords/>
  <dc:description/>
  <cp:lastModifiedBy>Suzanne  Harley</cp:lastModifiedBy>
  <cp:revision>2</cp:revision>
  <dcterms:created xsi:type="dcterms:W3CDTF">2024-04-24T11:22:00Z</dcterms:created>
  <dcterms:modified xsi:type="dcterms:W3CDTF">2024-04-24T11:22:00Z</dcterms:modified>
</cp:coreProperties>
</file>